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32C" w:rsidRDefault="007C232C" w:rsidP="007C232C">
      <w:pPr>
        <w:pStyle w:val="aa"/>
        <w:tabs>
          <w:tab w:val="right" w:pos="9639"/>
        </w:tabs>
        <w:jc w:val="both"/>
        <w:rPr>
          <w:sz w:val="24"/>
        </w:rPr>
      </w:pPr>
      <w:r>
        <w:rPr>
          <w:sz w:val="24"/>
        </w:rPr>
        <w:t>3GPP TSG-RAN WG4 Meeting #94-e</w:t>
      </w:r>
      <w:r>
        <w:rPr>
          <w:sz w:val="24"/>
        </w:rPr>
        <w:tab/>
      </w:r>
      <w:r>
        <w:rPr>
          <w:i/>
          <w:sz w:val="28"/>
          <w:szCs w:val="28"/>
        </w:rPr>
        <w:t>R4-200127</w:t>
      </w:r>
      <w:r>
        <w:rPr>
          <w:i/>
          <w:sz w:val="28"/>
          <w:szCs w:val="28"/>
        </w:rPr>
        <w:t>5</w:t>
      </w:r>
      <w:bookmarkStart w:id="0" w:name="_GoBack"/>
      <w:bookmarkEnd w:id="0"/>
    </w:p>
    <w:p w:rsidR="007C232C" w:rsidRPr="004B79F7" w:rsidRDefault="007C232C" w:rsidP="007C232C">
      <w:pPr>
        <w:spacing w:after="120"/>
        <w:jc w:val="both"/>
        <w:rPr>
          <w:rFonts w:ascii="Arial" w:hAnsi="Arial" w:cs="Arial"/>
          <w:b/>
          <w:sz w:val="24"/>
          <w:lang w:val="en-US"/>
        </w:rPr>
      </w:pPr>
      <w:r>
        <w:rPr>
          <w:rFonts w:ascii="Arial" w:hAnsi="Arial"/>
          <w:b/>
          <w:sz w:val="24"/>
          <w:szCs w:val="24"/>
        </w:rPr>
        <w:t>Online</w:t>
      </w:r>
      <w:r w:rsidRPr="004B79F7">
        <w:rPr>
          <w:rFonts w:ascii="Arial" w:hAnsi="Arial"/>
          <w:b/>
          <w:sz w:val="24"/>
          <w:szCs w:val="24"/>
        </w:rPr>
        <w:t>, 24 Feb</w:t>
      </w:r>
      <w:r>
        <w:rPr>
          <w:rFonts w:ascii="Arial" w:hAnsi="Arial"/>
          <w:b/>
          <w:sz w:val="24"/>
          <w:szCs w:val="24"/>
        </w:rPr>
        <w:t>ruary</w:t>
      </w:r>
      <w:r w:rsidRPr="004B79F7">
        <w:rPr>
          <w:rFonts w:ascii="Arial" w:hAnsi="Arial"/>
          <w:b/>
          <w:sz w:val="24"/>
          <w:szCs w:val="24"/>
        </w:rPr>
        <w:t xml:space="preserve"> – 6 Mar</w:t>
      </w:r>
      <w:r>
        <w:rPr>
          <w:rFonts w:ascii="Arial" w:hAnsi="Arial"/>
          <w:b/>
          <w:sz w:val="24"/>
          <w:szCs w:val="24"/>
        </w:rPr>
        <w:t>ch</w:t>
      </w:r>
      <w:r>
        <w:rPr>
          <w:b/>
          <w:sz w:val="24"/>
          <w:szCs w:val="24"/>
        </w:rPr>
        <w:t xml:space="preserve">, </w:t>
      </w:r>
      <w:r>
        <w:rPr>
          <w:rFonts w:ascii="Arial" w:hAnsi="Arial"/>
          <w:b/>
          <w:sz w:val="24"/>
          <w:szCs w:val="24"/>
        </w:rPr>
        <w:t>2020</w:t>
      </w:r>
    </w:p>
    <w:p w:rsidR="00D807C3" w:rsidRPr="007C232C"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6634E5">
        <w:rPr>
          <w:lang w:val="en-US"/>
        </w:rPr>
        <w:t>Further d</w:t>
      </w:r>
      <w:r w:rsidR="00820234" w:rsidRPr="00820234">
        <w:rPr>
          <w:lang w:val="en-US"/>
        </w:rPr>
        <w:t>iscussion on</w:t>
      </w:r>
      <w:r w:rsidR="0040365B">
        <w:rPr>
          <w:lang w:val="en-US"/>
        </w:rPr>
        <w:t xml:space="preserve"> NR</w:t>
      </w:r>
      <w:r w:rsidR="00820234" w:rsidRPr="00820234">
        <w:rPr>
          <w:lang w:val="en-US"/>
        </w:rPr>
        <w:t xml:space="preserve"> </w:t>
      </w:r>
      <w:r w:rsidR="0040365B" w:rsidRPr="0040365B">
        <w:rPr>
          <w:lang w:val="en-US"/>
        </w:rPr>
        <w:t>SRS carrier switching RRM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0927E0">
        <w:rPr>
          <w:lang w:val="en-US"/>
        </w:rPr>
        <w:t>8</w:t>
      </w:r>
      <w:r w:rsidR="008951DE" w:rsidRPr="008951DE">
        <w:rPr>
          <w:lang w:val="en-US"/>
        </w:rPr>
        <w:t>.</w:t>
      </w:r>
      <w:r w:rsidR="00335F78">
        <w:rPr>
          <w:lang w:val="en-US"/>
        </w:rPr>
        <w:t>15.</w:t>
      </w:r>
      <w:r w:rsidR="009A178B">
        <w:rPr>
          <w:lang w:val="en-US"/>
        </w:rPr>
        <w:t>1</w:t>
      </w:r>
      <w:r w:rsidR="00335F78">
        <w:rPr>
          <w:lang w:val="en-US"/>
        </w:rPr>
        <w:t>.</w:t>
      </w:r>
      <w:r w:rsidR="0040365B">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382420" w:rsidRDefault="00402F70" w:rsidP="00382420">
      <w:pPr>
        <w:spacing w:after="120"/>
        <w:jc w:val="both"/>
        <w:rPr>
          <w:rFonts w:cs="v4.2.0"/>
          <w:lang w:val="en-US"/>
        </w:rPr>
      </w:pPr>
      <w:r>
        <w:rPr>
          <w:rFonts w:cs="v4.2.0"/>
          <w:lang w:val="en-US"/>
        </w:rPr>
        <w:t>In the RAN4#9</w:t>
      </w:r>
      <w:r w:rsidR="002833CA">
        <w:rPr>
          <w:rFonts w:cs="v4.2.0"/>
          <w:lang w:val="en-US"/>
        </w:rPr>
        <w:t>3</w:t>
      </w:r>
      <w:r>
        <w:rPr>
          <w:rFonts w:cs="v4.2.0"/>
          <w:lang w:val="en-US"/>
        </w:rPr>
        <w:t xml:space="preserve"> meeting, there were </w:t>
      </w:r>
      <w:r w:rsidR="002833CA">
        <w:rPr>
          <w:rFonts w:cs="v4.2.0"/>
          <w:lang w:val="en-US"/>
        </w:rPr>
        <w:t xml:space="preserve">further </w:t>
      </w:r>
      <w:r w:rsidR="00BB453A">
        <w:rPr>
          <w:rFonts w:cs="v4.2.0"/>
          <w:lang w:val="en-US"/>
        </w:rPr>
        <w:t xml:space="preserve">discussions on </w:t>
      </w:r>
      <w:r w:rsidR="0040365B">
        <w:rPr>
          <w:rFonts w:cs="v4.2.0"/>
          <w:lang w:val="en-US"/>
        </w:rPr>
        <w:t>NR SRS carrier switching</w:t>
      </w:r>
      <w:r>
        <w:rPr>
          <w:rFonts w:cs="v4.2.0"/>
          <w:lang w:val="en-US"/>
        </w:rPr>
        <w:t>.</w:t>
      </w:r>
      <w:r w:rsidR="00BB453A">
        <w:rPr>
          <w:rFonts w:cs="v4.2.0"/>
          <w:lang w:val="en-US"/>
        </w:rPr>
        <w:t xml:space="preserve"> </w:t>
      </w:r>
      <w:r w:rsidR="002833CA">
        <w:rPr>
          <w:rFonts w:cs="v4.2.0"/>
          <w:lang w:val="en-US"/>
        </w:rPr>
        <w:t>Good p</w:t>
      </w:r>
      <w:r w:rsidR="00BB453A">
        <w:rPr>
          <w:rFonts w:cs="v4.2.0"/>
          <w:lang w:val="en-US"/>
        </w:rPr>
        <w:t>rogress w</w:t>
      </w:r>
      <w:r w:rsidR="002833CA">
        <w:rPr>
          <w:rFonts w:cs="v4.2.0"/>
          <w:lang w:val="en-US"/>
        </w:rPr>
        <w:t>as</w:t>
      </w:r>
      <w:r w:rsidR="00BB453A">
        <w:rPr>
          <w:rFonts w:cs="v4.2.0"/>
          <w:lang w:val="en-US"/>
        </w:rPr>
        <w:t xml:space="preserve"> made</w:t>
      </w:r>
      <w:r w:rsidR="002833CA">
        <w:rPr>
          <w:rFonts w:cs="v4.2.0"/>
          <w:lang w:val="en-US"/>
        </w:rPr>
        <w:t xml:space="preserve"> though</w:t>
      </w:r>
      <w:r w:rsidR="00BB453A">
        <w:rPr>
          <w:rFonts w:cs="v4.2.0"/>
          <w:lang w:val="en-US"/>
        </w:rPr>
        <w:t xml:space="preserve"> there are still </w:t>
      </w:r>
      <w:r w:rsidR="0040365B">
        <w:rPr>
          <w:rFonts w:cs="v4.2.0"/>
          <w:lang w:val="en-US"/>
        </w:rPr>
        <w:t>important</w:t>
      </w:r>
      <w:r w:rsidR="00BB453A">
        <w:rPr>
          <w:rFonts w:cs="v4.2.0"/>
          <w:lang w:val="en-US"/>
        </w:rPr>
        <w:t xml:space="preserve"> open issues</w:t>
      </w:r>
      <w:r w:rsidR="002833CA">
        <w:rPr>
          <w:rFonts w:cs="v4.2.0"/>
          <w:lang w:val="en-US"/>
        </w:rPr>
        <w:t>. The agreements</w:t>
      </w:r>
      <w:r w:rsidR="00816B04">
        <w:rPr>
          <w:rFonts w:cs="v4.2.0"/>
          <w:lang w:val="en-US"/>
        </w:rPr>
        <w:t xml:space="preserve"> and open issues</w:t>
      </w:r>
      <w:r w:rsidR="002833CA">
        <w:rPr>
          <w:rFonts w:cs="v4.2.0"/>
          <w:lang w:val="en-US"/>
        </w:rPr>
        <w:t xml:space="preserve"> </w:t>
      </w:r>
      <w:r w:rsidR="004B428B">
        <w:rPr>
          <w:rFonts w:cs="v4.2.0"/>
          <w:lang w:val="en-US"/>
        </w:rPr>
        <w:t>are captured in way forward [1].</w:t>
      </w:r>
    </w:p>
    <w:p w:rsidR="00E4237F" w:rsidRDefault="00EC6B47" w:rsidP="00382420">
      <w:pPr>
        <w:spacing w:after="120"/>
        <w:jc w:val="both"/>
        <w:rPr>
          <w:rFonts w:cs="v4.2.0"/>
          <w:lang w:val="en-US"/>
        </w:rPr>
      </w:pPr>
      <w:r>
        <w:rPr>
          <w:rFonts w:cs="v4.2.0" w:hint="eastAsia"/>
          <w:lang w:val="en-US"/>
        </w:rPr>
        <w:t xml:space="preserve">In this contribution we </w:t>
      </w:r>
      <w:r w:rsidR="0062176F">
        <w:rPr>
          <w:rFonts w:cs="v4.2.0"/>
          <w:lang w:val="en-US"/>
        </w:rPr>
        <w:t xml:space="preserve">further </w:t>
      </w:r>
      <w:r>
        <w:rPr>
          <w:rFonts w:cs="v4.2.0" w:hint="eastAsia"/>
          <w:lang w:val="en-US"/>
        </w:rPr>
        <w:t xml:space="preserve">provide our views on </w:t>
      </w:r>
      <w:r w:rsidR="0062176F">
        <w:rPr>
          <w:rFonts w:cs="v4.2.0"/>
          <w:lang w:val="en-US"/>
        </w:rPr>
        <w:t xml:space="preserve">RRM </w:t>
      </w:r>
      <w:r w:rsidR="00570F6B">
        <w:rPr>
          <w:rFonts w:cs="v4.2.0"/>
          <w:lang w:val="en-US"/>
        </w:rPr>
        <w:t xml:space="preserve">requirements for </w:t>
      </w:r>
      <w:r w:rsidR="0062176F">
        <w:rPr>
          <w:rFonts w:cs="v4.2.0"/>
          <w:lang w:val="en-US"/>
        </w:rPr>
        <w:t>NR SRS carrier switching</w:t>
      </w:r>
      <w:r>
        <w:rPr>
          <w:rFonts w:cs="v4.2.0" w:hint="eastAsia"/>
          <w:lang w:val="en-US"/>
        </w:rPr>
        <w:t>.</w:t>
      </w:r>
    </w:p>
    <w:p w:rsidR="00AC56AB" w:rsidRPr="00816B04"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B9640E" w:rsidRPr="00B9267A" w:rsidRDefault="00B9640E" w:rsidP="00B9640E">
      <w:pPr>
        <w:rPr>
          <w:b/>
          <w:i/>
          <w:u w:val="single"/>
          <w:lang w:val="en-US"/>
        </w:rPr>
      </w:pPr>
      <w:r w:rsidRPr="00B9267A">
        <w:rPr>
          <w:b/>
          <w:i/>
          <w:u w:val="single"/>
          <w:lang w:val="en-US"/>
        </w:rPr>
        <w:t>I</w:t>
      </w:r>
      <w:r w:rsidRPr="00B9267A">
        <w:rPr>
          <w:rFonts w:hint="eastAsia"/>
          <w:b/>
          <w:i/>
          <w:u w:val="single"/>
          <w:lang w:val="en-US"/>
        </w:rPr>
        <w:t xml:space="preserve">nterruption </w:t>
      </w:r>
      <w:r>
        <w:rPr>
          <w:b/>
          <w:i/>
          <w:u w:val="single"/>
          <w:lang w:val="en-US"/>
        </w:rPr>
        <w:t>time</w:t>
      </w:r>
    </w:p>
    <w:p w:rsidR="0025100A" w:rsidRDefault="00121E0C" w:rsidP="00B9640E">
      <w:pPr>
        <w:rPr>
          <w:lang w:val="en-US"/>
        </w:rPr>
      </w:pPr>
      <w:r>
        <w:rPr>
          <w:lang w:val="en-US"/>
        </w:rPr>
        <w:t>In the last meeting the agreements on interruption time are as follows</w:t>
      </w:r>
      <w:r w:rsidR="00B9640E">
        <w:rPr>
          <w:lang w:val="en-US"/>
        </w:rPr>
        <w:t>.</w:t>
      </w:r>
    </w:p>
    <w:tbl>
      <w:tblPr>
        <w:tblStyle w:val="af9"/>
        <w:tblpPr w:leftFromText="180" w:rightFromText="180" w:vertAnchor="text" w:horzAnchor="margin" w:tblpY="-56"/>
        <w:tblW w:w="0" w:type="auto"/>
        <w:tblLook w:val="04A0" w:firstRow="1" w:lastRow="0" w:firstColumn="1" w:lastColumn="0" w:noHBand="0" w:noVBand="1"/>
      </w:tblPr>
      <w:tblGrid>
        <w:gridCol w:w="9629"/>
      </w:tblGrid>
      <w:tr w:rsidR="00816B04" w:rsidTr="00816B04">
        <w:tc>
          <w:tcPr>
            <w:tcW w:w="9629" w:type="dxa"/>
          </w:tcPr>
          <w:p w:rsidR="00816B04" w:rsidRPr="006B6404" w:rsidRDefault="00816B04" w:rsidP="00816B04">
            <w:pPr>
              <w:numPr>
                <w:ilvl w:val="0"/>
                <w:numId w:val="15"/>
              </w:numPr>
              <w:spacing w:after="120"/>
              <w:jc w:val="both"/>
              <w:rPr>
                <w:rFonts w:cs="v4.2.0"/>
                <w:i/>
                <w:lang w:val="en-US"/>
              </w:rPr>
            </w:pPr>
            <w:r w:rsidRPr="006B6404">
              <w:rPr>
                <w:rFonts w:cs="v4.2.0"/>
                <w:i/>
              </w:rPr>
              <w:t>Interruption time length (slots) shall depend on the SCS of aggressor and victim serving cells</w:t>
            </w:r>
          </w:p>
          <w:p w:rsidR="00816B04" w:rsidRPr="006B6404" w:rsidRDefault="00816B04" w:rsidP="00816B04">
            <w:pPr>
              <w:numPr>
                <w:ilvl w:val="0"/>
                <w:numId w:val="15"/>
              </w:numPr>
              <w:spacing w:after="120"/>
              <w:jc w:val="both"/>
              <w:rPr>
                <w:rFonts w:cs="v4.2.0"/>
                <w:i/>
                <w:lang w:val="en-US"/>
              </w:rPr>
            </w:pPr>
            <w:r w:rsidRPr="006B6404">
              <w:rPr>
                <w:rFonts w:cs="v4.2.0"/>
                <w:i/>
                <w:lang w:val="en-US"/>
              </w:rPr>
              <w:t xml:space="preserve">SRS carrier switching time to define interruption requirements </w:t>
            </w:r>
          </w:p>
          <w:p w:rsidR="00816B04" w:rsidRPr="006B6404" w:rsidRDefault="00816B04" w:rsidP="00816B04">
            <w:pPr>
              <w:numPr>
                <w:ilvl w:val="1"/>
                <w:numId w:val="15"/>
              </w:numPr>
              <w:spacing w:after="120"/>
              <w:jc w:val="both"/>
              <w:rPr>
                <w:rFonts w:cs="v4.2.0"/>
                <w:i/>
                <w:lang w:val="en-US"/>
              </w:rPr>
            </w:pPr>
            <w:r w:rsidRPr="006B6404">
              <w:rPr>
                <w:rFonts w:cs="v4.2.0"/>
                <w:i/>
                <w:lang w:val="en-US"/>
              </w:rPr>
              <w:t>Define requirements for 200us, 500us and 900us SRS carrier switching time</w:t>
            </w:r>
          </w:p>
          <w:p w:rsidR="00816B04" w:rsidRPr="006B6404" w:rsidRDefault="00816B04" w:rsidP="00816B04">
            <w:pPr>
              <w:numPr>
                <w:ilvl w:val="1"/>
                <w:numId w:val="15"/>
              </w:numPr>
              <w:spacing w:after="120"/>
              <w:jc w:val="both"/>
              <w:rPr>
                <w:rFonts w:cs="v4.2.0"/>
                <w:i/>
                <w:lang w:val="en-US"/>
              </w:rPr>
            </w:pPr>
            <w:r w:rsidRPr="006B6404">
              <w:rPr>
                <w:rFonts w:cs="v4.2.0"/>
                <w:i/>
                <w:lang w:val="en-US"/>
              </w:rPr>
              <w:t>FFS for FR1/FR2 applicability of SRS carrier switching time</w:t>
            </w:r>
          </w:p>
          <w:p w:rsidR="00816B04" w:rsidRPr="006B6404" w:rsidRDefault="00816B04" w:rsidP="00816B04">
            <w:pPr>
              <w:numPr>
                <w:ilvl w:val="0"/>
                <w:numId w:val="15"/>
              </w:numPr>
              <w:spacing w:after="120"/>
              <w:jc w:val="both"/>
              <w:rPr>
                <w:rFonts w:cs="v4.2.0"/>
                <w:i/>
                <w:lang w:val="en-US"/>
              </w:rPr>
            </w:pPr>
            <w:r w:rsidRPr="006B6404">
              <w:rPr>
                <w:rFonts w:cs="v4.2.0"/>
                <w:i/>
                <w:lang w:val="en-US"/>
              </w:rPr>
              <w:t>For the case of SRS transmission on (single or multiple) CC, define two interruption, i.e. covering switch to and switch back, each interruption is defined as</w:t>
            </w:r>
          </w:p>
          <w:p w:rsidR="00816B04" w:rsidRPr="006B6404" w:rsidRDefault="00816B04" w:rsidP="00816B04">
            <w:pPr>
              <w:numPr>
                <w:ilvl w:val="1"/>
                <w:numId w:val="15"/>
              </w:numPr>
              <w:spacing w:after="120"/>
              <w:jc w:val="both"/>
              <w:rPr>
                <w:rFonts w:cs="v4.2.0"/>
                <w:i/>
                <w:lang w:val="en-US"/>
              </w:rPr>
            </w:pPr>
            <w:r w:rsidRPr="006B6404">
              <w:rPr>
                <w:rFonts w:cs="v4.2.0"/>
                <w:i/>
                <w:lang w:val="en-US"/>
              </w:rPr>
              <w:t>SRS carrier switching time + 6 symbols</w:t>
            </w:r>
          </w:p>
          <w:p w:rsidR="00816B04" w:rsidRPr="006B6404" w:rsidRDefault="00816B04" w:rsidP="00816B04">
            <w:pPr>
              <w:numPr>
                <w:ilvl w:val="0"/>
                <w:numId w:val="15"/>
              </w:numPr>
              <w:spacing w:after="120"/>
              <w:jc w:val="both"/>
              <w:rPr>
                <w:rFonts w:cs="v4.2.0"/>
                <w:i/>
                <w:lang w:val="en-US"/>
              </w:rPr>
            </w:pPr>
            <w:r w:rsidRPr="006B6404">
              <w:rPr>
                <w:rFonts w:cs="v4.2.0"/>
                <w:i/>
                <w:lang w:val="en-US"/>
              </w:rPr>
              <w:t xml:space="preserve">RAN4 to define unified interruption requirements for sync and </w:t>
            </w:r>
            <w:proofErr w:type="spellStart"/>
            <w:r w:rsidRPr="006B6404">
              <w:rPr>
                <w:rFonts w:cs="v4.2.0"/>
                <w:i/>
                <w:lang w:val="en-US"/>
              </w:rPr>
              <w:t>async</w:t>
            </w:r>
            <w:proofErr w:type="spellEnd"/>
            <w:r w:rsidRPr="006B6404">
              <w:rPr>
                <w:rFonts w:cs="v4.2.0"/>
                <w:i/>
                <w:lang w:val="en-US"/>
              </w:rPr>
              <w:t xml:space="preserve"> case</w:t>
            </w:r>
          </w:p>
          <w:p w:rsidR="00816B04" w:rsidRPr="006B6404" w:rsidRDefault="00816B04" w:rsidP="00816B04">
            <w:pPr>
              <w:numPr>
                <w:ilvl w:val="1"/>
                <w:numId w:val="15"/>
              </w:numPr>
              <w:spacing w:after="120"/>
              <w:jc w:val="both"/>
              <w:rPr>
                <w:rFonts w:cs="v4.2.0"/>
                <w:lang w:val="en-US"/>
              </w:rPr>
            </w:pPr>
            <w:r w:rsidRPr="006B6404">
              <w:rPr>
                <w:rFonts w:cs="v4.2.0"/>
                <w:i/>
                <w:lang w:val="en-US"/>
              </w:rPr>
              <w:t xml:space="preserve">Requirements are based on </w:t>
            </w:r>
            <w:proofErr w:type="spellStart"/>
            <w:r w:rsidRPr="006B6404">
              <w:rPr>
                <w:rFonts w:cs="v4.2.0"/>
                <w:i/>
                <w:lang w:val="en-US"/>
              </w:rPr>
              <w:t>async</w:t>
            </w:r>
            <w:proofErr w:type="spellEnd"/>
            <w:r w:rsidRPr="006B6404">
              <w:rPr>
                <w:rFonts w:cs="v4.2.0"/>
                <w:i/>
                <w:lang w:val="en-US"/>
              </w:rPr>
              <w:t xml:space="preserve"> case</w:t>
            </w:r>
          </w:p>
        </w:tc>
      </w:tr>
    </w:tbl>
    <w:p w:rsidR="00121E0C" w:rsidRDefault="00121E0C" w:rsidP="00B573A3">
      <w:pPr>
        <w:spacing w:before="240"/>
        <w:rPr>
          <w:lang w:val="en-US"/>
        </w:rPr>
      </w:pPr>
      <w:r>
        <w:rPr>
          <w:rFonts w:hint="eastAsia"/>
          <w:lang w:val="en-US"/>
        </w:rPr>
        <w:t>The applicability</w:t>
      </w:r>
      <w:r w:rsidR="003E14DB">
        <w:rPr>
          <w:lang w:val="en-US"/>
        </w:rPr>
        <w:t xml:space="preserve"> of SRS c</w:t>
      </w:r>
      <w:r w:rsidR="00B573A3">
        <w:rPr>
          <w:lang w:val="en-US"/>
        </w:rPr>
        <w:t>arrier switching time for FR2 has</w:t>
      </w:r>
      <w:r w:rsidR="003E14DB">
        <w:rPr>
          <w:lang w:val="en-US"/>
        </w:rPr>
        <w:t xml:space="preserve"> not</w:t>
      </w:r>
      <w:r w:rsidR="00B573A3">
        <w:rPr>
          <w:lang w:val="en-US"/>
        </w:rPr>
        <w:t xml:space="preserve"> been</w:t>
      </w:r>
      <w:r w:rsidR="003E14DB">
        <w:rPr>
          <w:lang w:val="en-US"/>
        </w:rPr>
        <w:t xml:space="preserve"> confirmed. According to earlier reply LS [</w:t>
      </w:r>
      <w:r w:rsidR="00B573A3">
        <w:rPr>
          <w:lang w:val="en-US"/>
        </w:rPr>
        <w:t>2</w:t>
      </w:r>
      <w:r w:rsidR="003E14DB">
        <w:rPr>
          <w:lang w:val="en-US"/>
        </w:rPr>
        <w:t>], all the SRS carrier switching time should be applicable for both FR1 and FR2.</w:t>
      </w:r>
    </w:p>
    <w:tbl>
      <w:tblPr>
        <w:tblStyle w:val="af9"/>
        <w:tblW w:w="0" w:type="auto"/>
        <w:tblLook w:val="04A0" w:firstRow="1" w:lastRow="0" w:firstColumn="1" w:lastColumn="0" w:noHBand="0" w:noVBand="1"/>
      </w:tblPr>
      <w:tblGrid>
        <w:gridCol w:w="9629"/>
      </w:tblGrid>
      <w:tr w:rsidR="00396584" w:rsidTr="00396584">
        <w:tc>
          <w:tcPr>
            <w:tcW w:w="9629" w:type="dxa"/>
          </w:tcPr>
          <w:p w:rsidR="00396584" w:rsidRPr="00966E09" w:rsidRDefault="00396584" w:rsidP="00396584">
            <w:pPr>
              <w:rPr>
                <w:rFonts w:ascii="Arial" w:hAnsi="Arial" w:cs="Arial"/>
                <w:i/>
                <w:lang w:val="en-US"/>
              </w:rPr>
            </w:pPr>
            <w:r w:rsidRPr="00966E09">
              <w:rPr>
                <w:rFonts w:ascii="Arial" w:hAnsi="Arial" w:cs="Arial"/>
                <w:b/>
                <w:lang w:val="en-US"/>
              </w:rPr>
              <w:t>Question 3</w:t>
            </w:r>
            <w:r w:rsidRPr="00966E09">
              <w:rPr>
                <w:rFonts w:ascii="Arial" w:hAnsi="Arial" w:cs="Arial"/>
                <w:lang w:val="en-US"/>
              </w:rPr>
              <w:t xml:space="preserve">: </w:t>
            </w:r>
            <w:r w:rsidRPr="00966E09">
              <w:rPr>
                <w:rFonts w:ascii="Arial" w:hAnsi="Arial" w:cs="Arial"/>
                <w:i/>
                <w:lang w:val="en-US"/>
              </w:rPr>
              <w:t xml:space="preserve">RAN1 kindly requests RAN4 to provide candidate values for the required switching time for carrier-based SRS switching in NR, including switching to/from SUL carriers. The required switching times would be indicated as UE capability. Alternatively, RAN4 may inform RAN1 if the same values as in LTE should be used. </w:t>
            </w:r>
          </w:p>
          <w:p w:rsidR="00396584" w:rsidRDefault="00396584" w:rsidP="00396584">
            <w:pPr>
              <w:rPr>
                <w:lang w:val="en-US"/>
              </w:rPr>
            </w:pPr>
            <w:r w:rsidRPr="00966E09">
              <w:rPr>
                <w:rFonts w:ascii="Arial" w:hAnsi="Arial" w:cs="Arial"/>
                <w:b/>
                <w:lang w:val="en-US"/>
              </w:rPr>
              <w:t xml:space="preserve">Answer 3: </w:t>
            </w:r>
            <w:r w:rsidRPr="003E7A96">
              <w:rPr>
                <w:rFonts w:ascii="Arial" w:hAnsi="Arial" w:cs="Arial"/>
                <w:highlight w:val="yellow"/>
                <w:lang w:val="en-US"/>
              </w:rPr>
              <w:t>It is the RAN4 understanding that same values for the required switching time for carrier-based SRS switching as those for LTE should be used for FR1</w:t>
            </w:r>
            <w:r w:rsidRPr="003E7A96">
              <w:rPr>
                <w:rFonts w:ascii="Arial" w:hAnsi="Arial" w:cs="Arial" w:hint="eastAsia"/>
                <w:highlight w:val="yellow"/>
                <w:lang w:val="en-US"/>
              </w:rPr>
              <w:t xml:space="preserve"> and FR2</w:t>
            </w:r>
            <w:r>
              <w:rPr>
                <w:rFonts w:ascii="Arial" w:hAnsi="Arial" w:cs="Arial" w:hint="eastAsia"/>
                <w:lang w:val="en-US"/>
              </w:rPr>
              <w:t xml:space="preserve">, </w:t>
            </w:r>
            <w:r>
              <w:rPr>
                <w:rFonts w:ascii="Arial" w:hAnsi="Arial" w:cs="Arial"/>
                <w:lang w:val="en-US"/>
              </w:rPr>
              <w:t>which</w:t>
            </w:r>
            <w:r>
              <w:rPr>
                <w:rFonts w:ascii="Arial" w:hAnsi="Arial" w:cs="Arial" w:hint="eastAsia"/>
                <w:lang w:val="en-US"/>
              </w:rPr>
              <w:t xml:space="preserve"> includes both intra and inter band CA cases</w:t>
            </w:r>
            <w:r w:rsidRPr="00966E09">
              <w:rPr>
                <w:rFonts w:ascii="Arial" w:hAnsi="Arial" w:cs="Arial"/>
                <w:lang w:val="en-US"/>
              </w:rPr>
              <w:t xml:space="preserve">. </w:t>
            </w:r>
            <w:r>
              <w:rPr>
                <w:rFonts w:ascii="Arial" w:hAnsi="Arial" w:cs="Arial"/>
                <w:lang w:val="en-US"/>
              </w:rPr>
              <w:t>For the values kindly refer to</w:t>
            </w:r>
            <w:r w:rsidRPr="00966E09">
              <w:rPr>
                <w:rFonts w:ascii="Arial" w:hAnsi="Arial" w:cs="Arial"/>
                <w:lang w:val="en-US"/>
              </w:rPr>
              <w:t xml:space="preserve"> [1]. </w:t>
            </w:r>
            <w:r>
              <w:rPr>
                <w:rFonts w:ascii="Arial" w:hAnsi="Arial" w:cs="Arial" w:hint="eastAsia"/>
                <w:lang w:val="en-US"/>
              </w:rPr>
              <w:t>On top of these values, RAN4 agrees that 140us is also a valid value. So far no inter-band CA combinations are defined for FR2 in RAN4. No switching time is needed for FR1 + FR2 inter-band CA scenario.</w:t>
            </w:r>
          </w:p>
        </w:tc>
      </w:tr>
    </w:tbl>
    <w:p w:rsidR="00B573A3" w:rsidRDefault="00B573A3" w:rsidP="00B573A3">
      <w:pPr>
        <w:spacing w:before="240"/>
        <w:rPr>
          <w:lang w:val="en-US"/>
        </w:rPr>
      </w:pPr>
      <w:r>
        <w:rPr>
          <w:lang w:val="en-US"/>
        </w:rPr>
        <w:t>In [2] it was proposed the maximum SRS carrier switching time for FR2 is 100us, which was the latest discussion. However there seems no further agreement on this. So all of the SRS carrier switching time is applicable for both FR1 and FR2 from RRM requirements perspective.</w:t>
      </w:r>
    </w:p>
    <w:p w:rsidR="00272022" w:rsidRDefault="00272022" w:rsidP="00272022">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sidR="00B573A3" w:rsidRPr="00B573A3">
        <w:rPr>
          <w:b/>
          <w:i/>
          <w:lang w:val="en-US"/>
        </w:rPr>
        <w:t>All of the SRS carrier switching time is applicable for both FR1 and FR2</w:t>
      </w:r>
      <w:r>
        <w:rPr>
          <w:rFonts w:cs="v4.2.0"/>
          <w:b/>
          <w:i/>
        </w:rPr>
        <w:t>.</w:t>
      </w:r>
    </w:p>
    <w:p w:rsidR="00B573A3" w:rsidRDefault="00B573A3" w:rsidP="00B573A3">
      <w:r>
        <w:rPr>
          <w:rFonts w:hint="eastAsia"/>
        </w:rPr>
        <w:lastRenderedPageBreak/>
        <w:t xml:space="preserve">Then based on agreements </w:t>
      </w:r>
      <w:r w:rsidR="003E7A96">
        <w:t>in</w:t>
      </w:r>
      <w:r w:rsidR="00451D3D">
        <w:t xml:space="preserve"> the last meeting</w:t>
      </w:r>
      <w:r w:rsidR="003E7A96">
        <w:t xml:space="preserve">, the total interruption time during SRS carrier switching </w:t>
      </w:r>
      <w:r w:rsidR="001C60BC">
        <w:t>can be calculated as follows.</w:t>
      </w:r>
    </w:p>
    <w:p w:rsidR="00FC2972" w:rsidRDefault="001C60BC" w:rsidP="001C60BC">
      <w:pPr>
        <w:numPr>
          <w:ilvl w:val="0"/>
          <w:numId w:val="17"/>
        </w:numPr>
        <w:rPr>
          <w:b/>
          <w:lang w:val="en-US"/>
        </w:rPr>
      </w:pPr>
      <w:r w:rsidRPr="00FC2972">
        <w:rPr>
          <w:b/>
        </w:rPr>
        <w:t xml:space="preserve">Case 1: </w:t>
      </w:r>
      <w:r w:rsidR="00FC2972" w:rsidRPr="00FC2972">
        <w:rPr>
          <w:b/>
          <w:lang w:val="en-US"/>
        </w:rPr>
        <w:t>Interruptions on NR victim cells during NR SRS carrier switching on switching to/switching from CC in EN-DC, NE-DC, NR-DC and SA operation</w:t>
      </w:r>
    </w:p>
    <w:p w:rsidR="003B485E" w:rsidRDefault="003B485E" w:rsidP="003B485E">
      <w:pPr>
        <w:rPr>
          <w:lang w:val="en-US"/>
        </w:rPr>
      </w:pPr>
      <w:r w:rsidRPr="003B485E">
        <w:rPr>
          <w:lang w:val="en-US"/>
        </w:rPr>
        <w:t>T</w:t>
      </w:r>
      <w:r w:rsidRPr="003B485E">
        <w:rPr>
          <w:rFonts w:hint="eastAsia"/>
          <w:lang w:val="en-US"/>
        </w:rPr>
        <w:t xml:space="preserve">he </w:t>
      </w:r>
      <w:r>
        <w:rPr>
          <w:lang w:val="en-US"/>
        </w:rPr>
        <w:t>interruption length is as summarized in Table 1 below.</w:t>
      </w:r>
    </w:p>
    <w:p w:rsidR="003B485E" w:rsidRDefault="003B485E" w:rsidP="003B485E">
      <w:pPr>
        <w:rPr>
          <w:rFonts w:cs="v4.2.0"/>
          <w:b/>
          <w:i/>
        </w:rPr>
      </w:pPr>
      <w:r w:rsidRPr="00D554B6">
        <w:rPr>
          <w:rFonts w:cs="v4.2.0" w:hint="eastAsia"/>
          <w:b/>
          <w:i/>
        </w:rPr>
        <w:t xml:space="preserve">Proposal </w:t>
      </w:r>
      <w:r>
        <w:rPr>
          <w:rFonts w:cs="v4.2.0"/>
          <w:b/>
          <w:i/>
        </w:rPr>
        <w:t>2</w:t>
      </w:r>
      <w:r w:rsidRPr="00D554B6">
        <w:rPr>
          <w:rFonts w:cs="v4.2.0" w:hint="eastAsia"/>
          <w:b/>
          <w:i/>
        </w:rPr>
        <w:t>.</w:t>
      </w:r>
      <w:r w:rsidRPr="003B485E">
        <w:rPr>
          <w:rFonts w:cs="v4.2.0" w:hint="eastAsia"/>
          <w:b/>
          <w:i/>
        </w:rPr>
        <w:t xml:space="preserve"> </w:t>
      </w:r>
      <w:r w:rsidRPr="003B485E">
        <w:rPr>
          <w:b/>
          <w:i/>
          <w:lang w:val="en-US"/>
        </w:rPr>
        <w:t>Interruption length on NR victim cells during NR SRS carrier switching in EN-DC, NE-DC, NR-DC and SA operation</w:t>
      </w:r>
      <w:r w:rsidRPr="003B485E">
        <w:rPr>
          <w:rFonts w:cs="v4.2.0"/>
          <w:b/>
          <w:i/>
        </w:rPr>
        <w:t xml:space="preserve"> is as in Table 1.</w:t>
      </w:r>
    </w:p>
    <w:p w:rsidR="003B485E" w:rsidRPr="003B485E" w:rsidRDefault="003B485E" w:rsidP="003B485E">
      <w:pPr>
        <w:jc w:val="center"/>
        <w:rPr>
          <w:lang w:val="en-US"/>
        </w:rPr>
      </w:pPr>
      <w:r>
        <w:rPr>
          <w:lang w:val="en-US"/>
        </w:rPr>
        <w:t>Table 1. Interruption length on NR victim cell during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304"/>
        <w:gridCol w:w="1304"/>
        <w:gridCol w:w="1304"/>
        <w:gridCol w:w="1304"/>
        <w:gridCol w:w="1304"/>
      </w:tblGrid>
      <w:tr w:rsidR="00FC2972" w:rsidTr="00FC2972">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rsidR="00FC2972" w:rsidRPr="00DD3199" w:rsidRDefault="00FC2972" w:rsidP="00FC2972">
            <w:pPr>
              <w:keepNext/>
              <w:keepLines/>
              <w:spacing w:after="0"/>
              <w:jc w:val="center"/>
            </w:pPr>
            <w:r w:rsidRPr="00DD3199">
              <w:rPr>
                <w:rFonts w:ascii="Arial" w:hAnsi="Arial"/>
                <w:b/>
                <w:noProof/>
                <w:sz w:val="18"/>
                <w:lang w:val="en-US"/>
              </w:rPr>
              <w:drawing>
                <wp:inline distT="0" distB="0" distL="0" distR="0" wp14:anchorId="2A5981B8" wp14:editId="46D232E8">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rsidR="00FC2972" w:rsidRPr="00DD3199" w:rsidRDefault="00FC2972" w:rsidP="00FC2972">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r>
              <w:rPr>
                <w:rFonts w:ascii="Arial" w:hAnsi="Arial"/>
                <w:b/>
                <w:sz w:val="18"/>
              </w:rPr>
              <w:t xml:space="preserve"> of victim cell</w:t>
            </w:r>
          </w:p>
        </w:tc>
        <w:tc>
          <w:tcPr>
            <w:tcW w:w="1304" w:type="dxa"/>
            <w:vMerge w:val="restart"/>
            <w:tcBorders>
              <w:top w:val="single" w:sz="4" w:space="0" w:color="auto"/>
              <w:left w:val="single" w:sz="4" w:space="0" w:color="auto"/>
              <w:right w:val="single" w:sz="4" w:space="0" w:color="auto"/>
            </w:tcBorders>
            <w:hideMark/>
          </w:tcPr>
          <w:p w:rsidR="00FC2972" w:rsidRPr="00DD3199" w:rsidRDefault="00FC2972" w:rsidP="00FC2972">
            <w:pPr>
              <w:keepNext/>
              <w:keepLines/>
              <w:spacing w:after="0"/>
              <w:jc w:val="center"/>
            </w:pPr>
            <w:r>
              <w:rPr>
                <w:rFonts w:ascii="Arial" w:hAnsi="Arial"/>
                <w:b/>
                <w:sz w:val="18"/>
                <w:lang w:val="fr-FR"/>
              </w:rPr>
              <w:t>SRS carrier switching time (us)</w:t>
            </w:r>
          </w:p>
        </w:tc>
        <w:tc>
          <w:tcPr>
            <w:tcW w:w="5216" w:type="dxa"/>
            <w:gridSpan w:val="4"/>
            <w:tcBorders>
              <w:top w:val="single" w:sz="4" w:space="0" w:color="auto"/>
              <w:left w:val="single" w:sz="4" w:space="0" w:color="auto"/>
              <w:right w:val="single" w:sz="4" w:space="0" w:color="auto"/>
            </w:tcBorders>
          </w:tcPr>
          <w:p w:rsidR="00FC2972" w:rsidRDefault="00FC2972" w:rsidP="00FC2972">
            <w:pPr>
              <w:keepNext/>
              <w:keepLines/>
              <w:spacing w:after="0"/>
              <w:jc w:val="center"/>
              <w:rPr>
                <w:rFonts w:ascii="Arial" w:hAnsi="Arial"/>
                <w:b/>
                <w:sz w:val="18"/>
                <w:lang w:val="fr-FR"/>
              </w:rPr>
            </w:pPr>
            <w:r>
              <w:rPr>
                <w:rFonts w:ascii="Arial" w:hAnsi="Arial"/>
                <w:b/>
                <w:sz w:val="18"/>
                <w:lang w:val="fr-FR"/>
              </w:rPr>
              <w:t>Interruption length X (slots)</w:t>
            </w:r>
          </w:p>
        </w:tc>
      </w:tr>
      <w:tr w:rsidR="00FC2972" w:rsidTr="00FC2972">
        <w:trPr>
          <w:trHeight w:val="150"/>
          <w:jc w:val="center"/>
        </w:trPr>
        <w:tc>
          <w:tcPr>
            <w:tcW w:w="649" w:type="dxa"/>
            <w:vMerge/>
            <w:tcBorders>
              <w:left w:val="single" w:sz="4" w:space="0" w:color="auto"/>
              <w:right w:val="single" w:sz="4" w:space="0" w:color="auto"/>
            </w:tcBorders>
            <w:vAlign w:val="center"/>
          </w:tcPr>
          <w:p w:rsidR="00FC2972" w:rsidRPr="00DD3199" w:rsidRDefault="00FC2972" w:rsidP="00FC2972">
            <w:pPr>
              <w:keepNext/>
              <w:keepLines/>
              <w:spacing w:after="0"/>
              <w:jc w:val="center"/>
              <w:rPr>
                <w:rFonts w:ascii="Arial" w:hAnsi="Arial"/>
                <w:b/>
                <w:noProof/>
                <w:sz w:val="18"/>
                <w:lang w:val="en-US"/>
              </w:rPr>
            </w:pPr>
          </w:p>
        </w:tc>
        <w:tc>
          <w:tcPr>
            <w:tcW w:w="1473" w:type="dxa"/>
            <w:vMerge/>
            <w:tcBorders>
              <w:left w:val="single" w:sz="4" w:space="0" w:color="auto"/>
              <w:right w:val="single" w:sz="4" w:space="0" w:color="auto"/>
            </w:tcBorders>
          </w:tcPr>
          <w:p w:rsidR="00FC2972" w:rsidRPr="00DD3199" w:rsidRDefault="00FC2972" w:rsidP="00FC2972">
            <w:pPr>
              <w:keepNext/>
              <w:keepLines/>
              <w:spacing w:after="0"/>
              <w:jc w:val="center"/>
              <w:rPr>
                <w:rFonts w:ascii="Arial" w:hAnsi="Arial"/>
                <w:b/>
                <w:sz w:val="18"/>
              </w:rPr>
            </w:pPr>
          </w:p>
        </w:tc>
        <w:tc>
          <w:tcPr>
            <w:tcW w:w="1304" w:type="dxa"/>
            <w:vMerge/>
            <w:tcBorders>
              <w:left w:val="single" w:sz="4" w:space="0" w:color="auto"/>
              <w:right w:val="single" w:sz="4" w:space="0" w:color="auto"/>
            </w:tcBorders>
          </w:tcPr>
          <w:p w:rsidR="00FC2972" w:rsidRDefault="00FC2972" w:rsidP="00FC2972">
            <w:pPr>
              <w:keepNext/>
              <w:keepLines/>
              <w:spacing w:after="0"/>
              <w:jc w:val="center"/>
              <w:rPr>
                <w:rFonts w:ascii="Arial" w:hAnsi="Arial"/>
                <w:b/>
                <w:sz w:val="18"/>
                <w:lang w:val="fr-FR"/>
              </w:rPr>
            </w:pPr>
          </w:p>
        </w:tc>
        <w:tc>
          <w:tcPr>
            <w:tcW w:w="5216" w:type="dxa"/>
            <w:gridSpan w:val="4"/>
            <w:tcBorders>
              <w:top w:val="single" w:sz="4" w:space="0" w:color="auto"/>
              <w:left w:val="single" w:sz="4" w:space="0" w:color="auto"/>
              <w:right w:val="single" w:sz="4" w:space="0" w:color="auto"/>
            </w:tcBorders>
          </w:tcPr>
          <w:p w:rsidR="00FC2972" w:rsidRDefault="00FC2972" w:rsidP="00FC2972">
            <w:pPr>
              <w:keepNext/>
              <w:keepLines/>
              <w:spacing w:after="0"/>
              <w:jc w:val="center"/>
              <w:rPr>
                <w:rFonts w:ascii="Arial" w:hAnsi="Arial"/>
                <w:b/>
                <w:sz w:val="18"/>
                <w:lang w:val="fr-FR"/>
              </w:rPr>
            </w:pPr>
            <w:r>
              <w:rPr>
                <w:rFonts w:ascii="Arial" w:hAnsi="Arial"/>
                <w:b/>
                <w:sz w:val="18"/>
                <w:lang w:val="fr-FR"/>
              </w:rPr>
              <w:t>Sub carrier spacing for agressor cell (kHz)</w:t>
            </w:r>
          </w:p>
        </w:tc>
      </w:tr>
      <w:tr w:rsidR="00FC2972" w:rsidTr="00FC2972">
        <w:trPr>
          <w:trHeight w:val="150"/>
          <w:jc w:val="center"/>
        </w:trPr>
        <w:tc>
          <w:tcPr>
            <w:tcW w:w="649" w:type="dxa"/>
            <w:vMerge/>
            <w:tcBorders>
              <w:left w:val="single" w:sz="4" w:space="0" w:color="auto"/>
              <w:bottom w:val="single" w:sz="4" w:space="0" w:color="auto"/>
              <w:right w:val="single" w:sz="4" w:space="0" w:color="auto"/>
            </w:tcBorders>
            <w:vAlign w:val="center"/>
          </w:tcPr>
          <w:p w:rsidR="00FC2972" w:rsidRPr="00DD3199" w:rsidRDefault="00FC2972" w:rsidP="00FC2972">
            <w:pPr>
              <w:keepNext/>
              <w:keepLines/>
              <w:spacing w:after="0"/>
              <w:jc w:val="center"/>
              <w:rPr>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rsidR="00FC2972" w:rsidRPr="00DD3199" w:rsidRDefault="00FC2972" w:rsidP="00FC2972">
            <w:pPr>
              <w:keepNext/>
              <w:keepLines/>
              <w:spacing w:after="0"/>
              <w:jc w:val="center"/>
              <w:rPr>
                <w:rFonts w:ascii="Arial" w:hAnsi="Arial"/>
                <w:b/>
                <w:sz w:val="18"/>
              </w:rPr>
            </w:pPr>
          </w:p>
        </w:tc>
        <w:tc>
          <w:tcPr>
            <w:tcW w:w="1304" w:type="dxa"/>
            <w:vMerge/>
            <w:tcBorders>
              <w:left w:val="single" w:sz="4" w:space="0" w:color="auto"/>
              <w:right w:val="single" w:sz="4" w:space="0" w:color="auto"/>
            </w:tcBorders>
          </w:tcPr>
          <w:p w:rsidR="00FC2972" w:rsidRDefault="00FC2972" w:rsidP="00FC2972">
            <w:pPr>
              <w:keepNext/>
              <w:keepLines/>
              <w:spacing w:after="0"/>
              <w:jc w:val="center"/>
              <w:rPr>
                <w:rFonts w:ascii="Arial" w:hAnsi="Arial"/>
                <w:b/>
                <w:sz w:val="18"/>
                <w:lang w:val="fr-FR"/>
              </w:rPr>
            </w:pPr>
          </w:p>
        </w:tc>
        <w:tc>
          <w:tcPr>
            <w:tcW w:w="1304" w:type="dxa"/>
            <w:tcBorders>
              <w:top w:val="single" w:sz="4" w:space="0" w:color="auto"/>
              <w:left w:val="single" w:sz="4" w:space="0" w:color="auto"/>
              <w:right w:val="single" w:sz="4" w:space="0" w:color="auto"/>
            </w:tcBorders>
          </w:tcPr>
          <w:p w:rsidR="00FC2972" w:rsidRPr="00FC2972" w:rsidRDefault="00FC2972" w:rsidP="00FC2972">
            <w:pPr>
              <w:keepNext/>
              <w:keepLines/>
              <w:spacing w:after="0"/>
              <w:jc w:val="center"/>
              <w:rPr>
                <w:rFonts w:ascii="Arial" w:hAnsi="Arial"/>
                <w:sz w:val="18"/>
                <w:lang w:val="fr-FR"/>
              </w:rPr>
            </w:pPr>
            <w:r w:rsidRPr="00FC2972">
              <w:rPr>
                <w:rFonts w:ascii="Arial" w:hAnsi="Arial"/>
                <w:sz w:val="18"/>
                <w:lang w:val="fr-FR"/>
              </w:rPr>
              <w:t>15</w:t>
            </w:r>
          </w:p>
        </w:tc>
        <w:tc>
          <w:tcPr>
            <w:tcW w:w="1304" w:type="dxa"/>
            <w:tcBorders>
              <w:top w:val="single" w:sz="4" w:space="0" w:color="auto"/>
              <w:left w:val="single" w:sz="4" w:space="0" w:color="auto"/>
              <w:right w:val="single" w:sz="4" w:space="0" w:color="auto"/>
            </w:tcBorders>
          </w:tcPr>
          <w:p w:rsidR="00FC2972" w:rsidRPr="00FC2972" w:rsidRDefault="00FC2972" w:rsidP="00FC2972">
            <w:pPr>
              <w:keepNext/>
              <w:keepLines/>
              <w:spacing w:after="0"/>
              <w:jc w:val="center"/>
              <w:rPr>
                <w:rFonts w:ascii="Arial" w:hAnsi="Arial"/>
                <w:sz w:val="18"/>
                <w:lang w:val="fr-FR"/>
              </w:rPr>
            </w:pPr>
            <w:r w:rsidRPr="00FC2972">
              <w:rPr>
                <w:rFonts w:ascii="Arial" w:hAnsi="Arial" w:hint="eastAsia"/>
                <w:sz w:val="18"/>
                <w:lang w:val="fr-FR"/>
              </w:rPr>
              <w:t>30</w:t>
            </w:r>
          </w:p>
        </w:tc>
        <w:tc>
          <w:tcPr>
            <w:tcW w:w="1304" w:type="dxa"/>
            <w:tcBorders>
              <w:top w:val="single" w:sz="4" w:space="0" w:color="auto"/>
              <w:left w:val="single" w:sz="4" w:space="0" w:color="auto"/>
              <w:right w:val="single" w:sz="4" w:space="0" w:color="auto"/>
            </w:tcBorders>
          </w:tcPr>
          <w:p w:rsidR="00FC2972" w:rsidRPr="00FC2972" w:rsidRDefault="00FC2972" w:rsidP="00FC2972">
            <w:pPr>
              <w:keepNext/>
              <w:keepLines/>
              <w:spacing w:after="0"/>
              <w:jc w:val="center"/>
              <w:rPr>
                <w:rFonts w:ascii="Arial" w:hAnsi="Arial"/>
                <w:sz w:val="18"/>
                <w:lang w:val="fr-FR"/>
              </w:rPr>
            </w:pPr>
            <w:r w:rsidRPr="00FC2972">
              <w:rPr>
                <w:rFonts w:ascii="Arial" w:hAnsi="Arial" w:hint="eastAsia"/>
                <w:sz w:val="18"/>
                <w:lang w:val="fr-FR"/>
              </w:rPr>
              <w:t>60</w:t>
            </w:r>
          </w:p>
        </w:tc>
        <w:tc>
          <w:tcPr>
            <w:tcW w:w="1304" w:type="dxa"/>
            <w:tcBorders>
              <w:top w:val="single" w:sz="4" w:space="0" w:color="auto"/>
              <w:left w:val="single" w:sz="4" w:space="0" w:color="auto"/>
              <w:right w:val="single" w:sz="4" w:space="0" w:color="auto"/>
            </w:tcBorders>
          </w:tcPr>
          <w:p w:rsidR="00FC2972" w:rsidRPr="00FC2972" w:rsidRDefault="00FC2972" w:rsidP="00FC2972">
            <w:pPr>
              <w:keepNext/>
              <w:keepLines/>
              <w:spacing w:after="0"/>
              <w:jc w:val="center"/>
              <w:rPr>
                <w:rFonts w:ascii="Arial" w:hAnsi="Arial"/>
                <w:sz w:val="18"/>
                <w:lang w:val="fr-FR"/>
              </w:rPr>
            </w:pPr>
            <w:r w:rsidRPr="00FC2972">
              <w:rPr>
                <w:rFonts w:ascii="Arial" w:hAnsi="Arial" w:hint="eastAsia"/>
                <w:sz w:val="18"/>
                <w:lang w:val="fr-FR"/>
              </w:rPr>
              <w:t>120</w:t>
            </w:r>
          </w:p>
        </w:tc>
      </w:tr>
      <w:tr w:rsidR="00FC2972" w:rsidTr="00FC2972">
        <w:trPr>
          <w:trHeight w:val="101"/>
          <w:jc w:val="center"/>
        </w:trPr>
        <w:tc>
          <w:tcPr>
            <w:tcW w:w="649" w:type="dxa"/>
            <w:vMerge w:val="restart"/>
            <w:tcBorders>
              <w:top w:val="single" w:sz="4" w:space="0" w:color="auto"/>
              <w:left w:val="single" w:sz="4" w:space="0" w:color="auto"/>
              <w:right w:val="single" w:sz="4" w:space="0" w:color="auto"/>
            </w:tcBorders>
            <w:hideMark/>
          </w:tcPr>
          <w:p w:rsidR="00FC2972" w:rsidRPr="00DD3199" w:rsidRDefault="00FC2972" w:rsidP="00FC2972">
            <w:pPr>
              <w:pStyle w:val="TAC"/>
            </w:pPr>
            <w:r w:rsidRPr="00DD3199">
              <w:t>0</w:t>
            </w:r>
          </w:p>
        </w:tc>
        <w:tc>
          <w:tcPr>
            <w:tcW w:w="1473" w:type="dxa"/>
            <w:vMerge w:val="restart"/>
            <w:tcBorders>
              <w:top w:val="single" w:sz="4" w:space="0" w:color="auto"/>
              <w:left w:val="single" w:sz="4" w:space="0" w:color="auto"/>
              <w:right w:val="single" w:sz="4" w:space="0" w:color="auto"/>
            </w:tcBorders>
            <w:hideMark/>
          </w:tcPr>
          <w:p w:rsidR="00FC2972" w:rsidRPr="00DD3199" w:rsidRDefault="00FC2972" w:rsidP="00FC2972">
            <w:pPr>
              <w:pStyle w:val="TAC"/>
            </w:pPr>
            <w:r w:rsidRPr="00DD3199">
              <w:t>1</w:t>
            </w:r>
          </w:p>
        </w:tc>
        <w:tc>
          <w:tcPr>
            <w:tcW w:w="1304" w:type="dxa"/>
            <w:tcBorders>
              <w:left w:val="single" w:sz="4" w:space="0" w:color="auto"/>
              <w:right w:val="single" w:sz="4" w:space="0" w:color="auto"/>
            </w:tcBorders>
          </w:tcPr>
          <w:p w:rsidR="00FC2972" w:rsidRDefault="00FC2972" w:rsidP="00FC2972">
            <w:pPr>
              <w:pStyle w:val="TAC"/>
              <w:rPr>
                <w:lang w:val="fr-FR"/>
              </w:rPr>
            </w:pPr>
            <w:r>
              <w:rPr>
                <w:lang w:val="fr-FR"/>
              </w:rPr>
              <w:t>200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FC2972" w:rsidTr="00FC2972">
        <w:trPr>
          <w:trHeight w:val="100"/>
          <w:jc w:val="center"/>
        </w:trPr>
        <w:tc>
          <w:tcPr>
            <w:tcW w:w="649" w:type="dxa"/>
            <w:vMerge/>
            <w:tcBorders>
              <w:left w:val="single" w:sz="4" w:space="0" w:color="auto"/>
              <w:right w:val="single" w:sz="4" w:space="0" w:color="auto"/>
            </w:tcBorders>
          </w:tcPr>
          <w:p w:rsidR="00FC2972" w:rsidRPr="00DD3199" w:rsidRDefault="00FC2972" w:rsidP="00FC2972">
            <w:pPr>
              <w:pStyle w:val="TAC"/>
            </w:pPr>
          </w:p>
        </w:tc>
        <w:tc>
          <w:tcPr>
            <w:tcW w:w="1473" w:type="dxa"/>
            <w:vMerge/>
            <w:tcBorders>
              <w:left w:val="single" w:sz="4" w:space="0" w:color="auto"/>
              <w:right w:val="single" w:sz="4" w:space="0" w:color="auto"/>
            </w:tcBorders>
          </w:tcPr>
          <w:p w:rsidR="00FC2972" w:rsidRPr="00DD3199" w:rsidRDefault="00FC2972" w:rsidP="00FC2972">
            <w:pPr>
              <w:pStyle w:val="TAC"/>
            </w:pPr>
          </w:p>
        </w:tc>
        <w:tc>
          <w:tcPr>
            <w:tcW w:w="1304" w:type="dxa"/>
            <w:tcBorders>
              <w:left w:val="single" w:sz="4" w:space="0" w:color="auto"/>
              <w:right w:val="single" w:sz="4" w:space="0" w:color="auto"/>
            </w:tcBorders>
          </w:tcPr>
          <w:p w:rsidR="00FC2972" w:rsidRDefault="00FC2972" w:rsidP="00FC2972">
            <w:pPr>
              <w:pStyle w:val="TAC"/>
              <w:rPr>
                <w:lang w:val="fr-FR"/>
              </w:rPr>
            </w:pPr>
            <w:r>
              <w:rPr>
                <w:rFonts w:hint="eastAsia"/>
                <w:lang w:val="fr-FR"/>
              </w:rPr>
              <w:t>500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FC2972" w:rsidTr="00FC2972">
        <w:trPr>
          <w:trHeight w:val="100"/>
          <w:jc w:val="center"/>
        </w:trPr>
        <w:tc>
          <w:tcPr>
            <w:tcW w:w="649" w:type="dxa"/>
            <w:vMerge/>
            <w:tcBorders>
              <w:left w:val="single" w:sz="4" w:space="0" w:color="auto"/>
              <w:bottom w:val="single" w:sz="4" w:space="0" w:color="auto"/>
              <w:right w:val="single" w:sz="4" w:space="0" w:color="auto"/>
            </w:tcBorders>
          </w:tcPr>
          <w:p w:rsidR="00FC2972" w:rsidRPr="00DD3199" w:rsidRDefault="00FC2972" w:rsidP="00FC2972">
            <w:pPr>
              <w:pStyle w:val="TAC"/>
            </w:pPr>
          </w:p>
        </w:tc>
        <w:tc>
          <w:tcPr>
            <w:tcW w:w="1473" w:type="dxa"/>
            <w:vMerge/>
            <w:tcBorders>
              <w:left w:val="single" w:sz="4" w:space="0" w:color="auto"/>
              <w:bottom w:val="single" w:sz="4" w:space="0" w:color="auto"/>
              <w:right w:val="single" w:sz="4" w:space="0" w:color="auto"/>
            </w:tcBorders>
          </w:tcPr>
          <w:p w:rsidR="00FC2972" w:rsidRPr="00DD3199" w:rsidRDefault="00FC2972" w:rsidP="00FC2972">
            <w:pPr>
              <w:pStyle w:val="TAC"/>
            </w:pPr>
          </w:p>
        </w:tc>
        <w:tc>
          <w:tcPr>
            <w:tcW w:w="1304" w:type="dxa"/>
            <w:tcBorders>
              <w:left w:val="single" w:sz="4" w:space="0" w:color="auto"/>
              <w:right w:val="single" w:sz="4" w:space="0" w:color="auto"/>
            </w:tcBorders>
          </w:tcPr>
          <w:p w:rsidR="00FC2972" w:rsidRDefault="00FC2972" w:rsidP="00FC2972">
            <w:pPr>
              <w:pStyle w:val="TAC"/>
              <w:rPr>
                <w:lang w:val="fr-FR"/>
              </w:rPr>
            </w:pPr>
            <w:r>
              <w:rPr>
                <w:rFonts w:hint="eastAsia"/>
                <w:lang w:val="fr-FR"/>
              </w:rPr>
              <w:t>900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FC2972" w:rsidTr="00FC2972">
        <w:trPr>
          <w:trHeight w:val="101"/>
          <w:jc w:val="center"/>
        </w:trPr>
        <w:tc>
          <w:tcPr>
            <w:tcW w:w="649" w:type="dxa"/>
            <w:vMerge w:val="restart"/>
            <w:tcBorders>
              <w:top w:val="single" w:sz="4" w:space="0" w:color="auto"/>
              <w:left w:val="single" w:sz="4" w:space="0" w:color="auto"/>
              <w:right w:val="single" w:sz="4" w:space="0" w:color="auto"/>
            </w:tcBorders>
            <w:hideMark/>
          </w:tcPr>
          <w:p w:rsidR="00FC2972" w:rsidRPr="00DD3199" w:rsidRDefault="00FC2972" w:rsidP="00FC2972">
            <w:pPr>
              <w:pStyle w:val="TAC"/>
            </w:pPr>
            <w:r w:rsidRPr="00DD3199">
              <w:t>1</w:t>
            </w:r>
          </w:p>
        </w:tc>
        <w:tc>
          <w:tcPr>
            <w:tcW w:w="1473" w:type="dxa"/>
            <w:vMerge w:val="restart"/>
            <w:tcBorders>
              <w:top w:val="single" w:sz="4" w:space="0" w:color="auto"/>
              <w:left w:val="single" w:sz="4" w:space="0" w:color="auto"/>
              <w:right w:val="single" w:sz="4" w:space="0" w:color="auto"/>
            </w:tcBorders>
            <w:hideMark/>
          </w:tcPr>
          <w:p w:rsidR="00FC2972" w:rsidRPr="00DD3199" w:rsidRDefault="00FC2972" w:rsidP="00FC2972">
            <w:pPr>
              <w:pStyle w:val="TAC"/>
            </w:pPr>
            <w:r w:rsidRPr="00DD3199">
              <w:t>0.5</w:t>
            </w:r>
          </w:p>
        </w:tc>
        <w:tc>
          <w:tcPr>
            <w:tcW w:w="1304" w:type="dxa"/>
            <w:tcBorders>
              <w:left w:val="single" w:sz="4" w:space="0" w:color="auto"/>
              <w:right w:val="single" w:sz="4" w:space="0" w:color="auto"/>
            </w:tcBorders>
          </w:tcPr>
          <w:p w:rsidR="00FC2972" w:rsidRDefault="00FC2972" w:rsidP="00FC2972">
            <w:pPr>
              <w:pStyle w:val="TAC"/>
              <w:rPr>
                <w:lang w:val="fr-FR"/>
              </w:rPr>
            </w:pPr>
            <w:r>
              <w:rPr>
                <w:lang w:val="fr-FR"/>
              </w:rPr>
              <w:t>200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FC2972" w:rsidTr="00FC2972">
        <w:trPr>
          <w:trHeight w:val="100"/>
          <w:jc w:val="center"/>
        </w:trPr>
        <w:tc>
          <w:tcPr>
            <w:tcW w:w="649" w:type="dxa"/>
            <w:vMerge/>
            <w:tcBorders>
              <w:left w:val="single" w:sz="4" w:space="0" w:color="auto"/>
              <w:right w:val="single" w:sz="4" w:space="0" w:color="auto"/>
            </w:tcBorders>
          </w:tcPr>
          <w:p w:rsidR="00FC2972" w:rsidRPr="00DD3199" w:rsidRDefault="00FC2972" w:rsidP="00FC2972">
            <w:pPr>
              <w:pStyle w:val="TAC"/>
            </w:pPr>
          </w:p>
        </w:tc>
        <w:tc>
          <w:tcPr>
            <w:tcW w:w="1473" w:type="dxa"/>
            <w:vMerge/>
            <w:tcBorders>
              <w:left w:val="single" w:sz="4" w:space="0" w:color="auto"/>
              <w:right w:val="single" w:sz="4" w:space="0" w:color="auto"/>
            </w:tcBorders>
          </w:tcPr>
          <w:p w:rsidR="00FC2972" w:rsidRPr="00DD3199" w:rsidRDefault="00FC2972" w:rsidP="00FC2972">
            <w:pPr>
              <w:pStyle w:val="TAC"/>
            </w:pPr>
          </w:p>
        </w:tc>
        <w:tc>
          <w:tcPr>
            <w:tcW w:w="1304" w:type="dxa"/>
            <w:tcBorders>
              <w:left w:val="single" w:sz="4" w:space="0" w:color="auto"/>
              <w:right w:val="single" w:sz="4" w:space="0" w:color="auto"/>
            </w:tcBorders>
          </w:tcPr>
          <w:p w:rsidR="00FC2972" w:rsidRDefault="00FC2972" w:rsidP="00FC2972">
            <w:pPr>
              <w:pStyle w:val="TAC"/>
              <w:rPr>
                <w:lang w:val="fr-FR"/>
              </w:rPr>
            </w:pPr>
            <w:r>
              <w:rPr>
                <w:rFonts w:hint="eastAsia"/>
                <w:lang w:val="fr-FR"/>
              </w:rPr>
              <w:t>500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r>
      <w:tr w:rsidR="00FC2972" w:rsidTr="00FC2972">
        <w:trPr>
          <w:trHeight w:val="100"/>
          <w:jc w:val="center"/>
        </w:trPr>
        <w:tc>
          <w:tcPr>
            <w:tcW w:w="649" w:type="dxa"/>
            <w:vMerge/>
            <w:tcBorders>
              <w:left w:val="single" w:sz="4" w:space="0" w:color="auto"/>
              <w:bottom w:val="single" w:sz="4" w:space="0" w:color="auto"/>
              <w:right w:val="single" w:sz="4" w:space="0" w:color="auto"/>
            </w:tcBorders>
          </w:tcPr>
          <w:p w:rsidR="00FC2972" w:rsidRPr="00DD3199" w:rsidRDefault="00FC2972" w:rsidP="00FC2972">
            <w:pPr>
              <w:pStyle w:val="TAC"/>
            </w:pPr>
          </w:p>
        </w:tc>
        <w:tc>
          <w:tcPr>
            <w:tcW w:w="1473" w:type="dxa"/>
            <w:vMerge/>
            <w:tcBorders>
              <w:left w:val="single" w:sz="4" w:space="0" w:color="auto"/>
              <w:bottom w:val="single" w:sz="4" w:space="0" w:color="auto"/>
              <w:right w:val="single" w:sz="4" w:space="0" w:color="auto"/>
            </w:tcBorders>
          </w:tcPr>
          <w:p w:rsidR="00FC2972" w:rsidRPr="00DD3199" w:rsidRDefault="00FC2972" w:rsidP="00FC2972">
            <w:pPr>
              <w:pStyle w:val="TAC"/>
            </w:pPr>
          </w:p>
        </w:tc>
        <w:tc>
          <w:tcPr>
            <w:tcW w:w="1304" w:type="dxa"/>
            <w:tcBorders>
              <w:left w:val="single" w:sz="4" w:space="0" w:color="auto"/>
              <w:right w:val="single" w:sz="4" w:space="0" w:color="auto"/>
            </w:tcBorders>
          </w:tcPr>
          <w:p w:rsidR="00FC2972" w:rsidRDefault="00FC2972" w:rsidP="00FC2972">
            <w:pPr>
              <w:pStyle w:val="TAC"/>
              <w:rPr>
                <w:lang w:val="fr-FR"/>
              </w:rPr>
            </w:pPr>
            <w:r>
              <w:rPr>
                <w:rFonts w:hint="eastAsia"/>
                <w:lang w:val="fr-FR"/>
              </w:rPr>
              <w:t>900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r>
      <w:tr w:rsidR="00FC2972" w:rsidTr="00FC2972">
        <w:trPr>
          <w:trHeight w:val="101"/>
          <w:jc w:val="center"/>
        </w:trPr>
        <w:tc>
          <w:tcPr>
            <w:tcW w:w="649" w:type="dxa"/>
            <w:vMerge w:val="restart"/>
            <w:tcBorders>
              <w:top w:val="single" w:sz="4" w:space="0" w:color="auto"/>
              <w:left w:val="single" w:sz="4" w:space="0" w:color="auto"/>
              <w:right w:val="single" w:sz="4" w:space="0" w:color="auto"/>
            </w:tcBorders>
            <w:hideMark/>
          </w:tcPr>
          <w:p w:rsidR="00FC2972" w:rsidRPr="00DD3199" w:rsidRDefault="00FC2972" w:rsidP="00FC2972">
            <w:pPr>
              <w:pStyle w:val="TAC"/>
            </w:pPr>
            <w:r w:rsidRPr="00DD3199">
              <w:t>2</w:t>
            </w:r>
          </w:p>
        </w:tc>
        <w:tc>
          <w:tcPr>
            <w:tcW w:w="1473" w:type="dxa"/>
            <w:vMerge w:val="restart"/>
            <w:tcBorders>
              <w:top w:val="single" w:sz="4" w:space="0" w:color="auto"/>
              <w:left w:val="single" w:sz="4" w:space="0" w:color="auto"/>
              <w:right w:val="single" w:sz="4" w:space="0" w:color="auto"/>
            </w:tcBorders>
            <w:hideMark/>
          </w:tcPr>
          <w:p w:rsidR="00FC2972" w:rsidRPr="00DD3199" w:rsidRDefault="00FC2972" w:rsidP="00FC2972">
            <w:pPr>
              <w:pStyle w:val="TAC"/>
            </w:pPr>
            <w:r w:rsidRPr="00DD3199">
              <w:t>0.25</w:t>
            </w:r>
          </w:p>
        </w:tc>
        <w:tc>
          <w:tcPr>
            <w:tcW w:w="1304" w:type="dxa"/>
            <w:tcBorders>
              <w:left w:val="single" w:sz="4" w:space="0" w:color="auto"/>
              <w:right w:val="single" w:sz="4" w:space="0" w:color="auto"/>
            </w:tcBorders>
          </w:tcPr>
          <w:p w:rsidR="00FC2972" w:rsidRDefault="00FC2972" w:rsidP="00FC2972">
            <w:pPr>
              <w:pStyle w:val="TAC"/>
              <w:rPr>
                <w:lang w:val="fr-FR"/>
              </w:rPr>
            </w:pPr>
            <w:r>
              <w:rPr>
                <w:lang w:val="fr-FR"/>
              </w:rPr>
              <w:t>200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r>
      <w:tr w:rsidR="00FC2972" w:rsidTr="00FC2972">
        <w:trPr>
          <w:trHeight w:val="100"/>
          <w:jc w:val="center"/>
        </w:trPr>
        <w:tc>
          <w:tcPr>
            <w:tcW w:w="649" w:type="dxa"/>
            <w:vMerge/>
            <w:tcBorders>
              <w:left w:val="single" w:sz="4" w:space="0" w:color="auto"/>
              <w:right w:val="single" w:sz="4" w:space="0" w:color="auto"/>
            </w:tcBorders>
          </w:tcPr>
          <w:p w:rsidR="00FC2972" w:rsidRPr="00DD3199" w:rsidRDefault="00FC2972" w:rsidP="00FC2972">
            <w:pPr>
              <w:pStyle w:val="TAC"/>
            </w:pPr>
          </w:p>
        </w:tc>
        <w:tc>
          <w:tcPr>
            <w:tcW w:w="1473" w:type="dxa"/>
            <w:vMerge/>
            <w:tcBorders>
              <w:left w:val="single" w:sz="4" w:space="0" w:color="auto"/>
              <w:right w:val="single" w:sz="4" w:space="0" w:color="auto"/>
            </w:tcBorders>
          </w:tcPr>
          <w:p w:rsidR="00FC2972" w:rsidRPr="00DD3199" w:rsidRDefault="00FC2972" w:rsidP="00FC2972">
            <w:pPr>
              <w:pStyle w:val="TAC"/>
            </w:pPr>
          </w:p>
        </w:tc>
        <w:tc>
          <w:tcPr>
            <w:tcW w:w="1304" w:type="dxa"/>
            <w:tcBorders>
              <w:left w:val="single" w:sz="4" w:space="0" w:color="auto"/>
              <w:right w:val="single" w:sz="4" w:space="0" w:color="auto"/>
            </w:tcBorders>
          </w:tcPr>
          <w:p w:rsidR="00FC2972" w:rsidRDefault="00FC2972" w:rsidP="00FC2972">
            <w:pPr>
              <w:pStyle w:val="TAC"/>
              <w:rPr>
                <w:lang w:val="fr-FR"/>
              </w:rPr>
            </w:pPr>
            <w:r>
              <w:rPr>
                <w:rFonts w:hint="eastAsia"/>
                <w:lang w:val="fr-FR"/>
              </w:rPr>
              <w:t>500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5</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r>
      <w:tr w:rsidR="00FC2972" w:rsidTr="00FC2972">
        <w:trPr>
          <w:trHeight w:val="100"/>
          <w:jc w:val="center"/>
        </w:trPr>
        <w:tc>
          <w:tcPr>
            <w:tcW w:w="649" w:type="dxa"/>
            <w:vMerge/>
            <w:tcBorders>
              <w:left w:val="single" w:sz="4" w:space="0" w:color="auto"/>
              <w:right w:val="single" w:sz="4" w:space="0" w:color="auto"/>
            </w:tcBorders>
          </w:tcPr>
          <w:p w:rsidR="00FC2972" w:rsidRPr="00DD3199" w:rsidRDefault="00FC2972" w:rsidP="00FC2972">
            <w:pPr>
              <w:pStyle w:val="TAC"/>
            </w:pPr>
          </w:p>
        </w:tc>
        <w:tc>
          <w:tcPr>
            <w:tcW w:w="1473" w:type="dxa"/>
            <w:vMerge/>
            <w:tcBorders>
              <w:left w:val="single" w:sz="4" w:space="0" w:color="auto"/>
              <w:bottom w:val="single" w:sz="4" w:space="0" w:color="auto"/>
              <w:right w:val="single" w:sz="4" w:space="0" w:color="auto"/>
            </w:tcBorders>
          </w:tcPr>
          <w:p w:rsidR="00FC2972" w:rsidRPr="00DD3199" w:rsidRDefault="00FC2972" w:rsidP="00FC2972">
            <w:pPr>
              <w:pStyle w:val="TAC"/>
            </w:pPr>
          </w:p>
        </w:tc>
        <w:tc>
          <w:tcPr>
            <w:tcW w:w="1304" w:type="dxa"/>
            <w:tcBorders>
              <w:left w:val="single" w:sz="4" w:space="0" w:color="auto"/>
              <w:right w:val="single" w:sz="4" w:space="0" w:color="auto"/>
            </w:tcBorders>
          </w:tcPr>
          <w:p w:rsidR="00FC2972" w:rsidRDefault="00FC2972" w:rsidP="00FC2972">
            <w:pPr>
              <w:pStyle w:val="TAC"/>
              <w:rPr>
                <w:lang w:val="fr-FR"/>
              </w:rPr>
            </w:pPr>
            <w:r>
              <w:rPr>
                <w:rFonts w:hint="eastAsia"/>
                <w:lang w:val="fr-FR"/>
              </w:rPr>
              <w:t>900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7</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6</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6</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5</w:t>
            </w:r>
          </w:p>
        </w:tc>
      </w:tr>
      <w:tr w:rsidR="00FC2972" w:rsidTr="00FC2972">
        <w:trPr>
          <w:trHeight w:val="101"/>
          <w:jc w:val="center"/>
        </w:trPr>
        <w:tc>
          <w:tcPr>
            <w:tcW w:w="649" w:type="dxa"/>
            <w:vMerge w:val="restart"/>
            <w:tcBorders>
              <w:top w:val="single" w:sz="4" w:space="0" w:color="auto"/>
              <w:left w:val="single" w:sz="4" w:space="0" w:color="auto"/>
              <w:right w:val="single" w:sz="4" w:space="0" w:color="auto"/>
            </w:tcBorders>
            <w:hideMark/>
          </w:tcPr>
          <w:p w:rsidR="00FC2972" w:rsidRPr="00DD3199" w:rsidRDefault="00FC2972" w:rsidP="00FC2972">
            <w:pPr>
              <w:pStyle w:val="TAC"/>
            </w:pPr>
            <w:r w:rsidRPr="00DD3199">
              <w:t>3</w:t>
            </w:r>
          </w:p>
        </w:tc>
        <w:tc>
          <w:tcPr>
            <w:tcW w:w="1473" w:type="dxa"/>
            <w:vMerge w:val="restart"/>
            <w:tcBorders>
              <w:top w:val="single" w:sz="4" w:space="0" w:color="auto"/>
              <w:left w:val="single" w:sz="4" w:space="0" w:color="auto"/>
              <w:right w:val="single" w:sz="4" w:space="0" w:color="auto"/>
            </w:tcBorders>
            <w:hideMark/>
          </w:tcPr>
          <w:p w:rsidR="00FC2972" w:rsidRPr="00DD3199" w:rsidRDefault="00FC2972" w:rsidP="00FC2972">
            <w:pPr>
              <w:pStyle w:val="TAC"/>
            </w:pPr>
            <w:r w:rsidRPr="00DD3199">
              <w:t>0.125</w:t>
            </w:r>
          </w:p>
        </w:tc>
        <w:tc>
          <w:tcPr>
            <w:tcW w:w="1304" w:type="dxa"/>
            <w:tcBorders>
              <w:left w:val="single" w:sz="4" w:space="0" w:color="auto"/>
              <w:right w:val="single" w:sz="4" w:space="0" w:color="auto"/>
            </w:tcBorders>
          </w:tcPr>
          <w:p w:rsidR="00FC2972" w:rsidRDefault="00FC2972" w:rsidP="00FC2972">
            <w:pPr>
              <w:pStyle w:val="TAC"/>
              <w:rPr>
                <w:lang w:val="fr-FR"/>
              </w:rPr>
            </w:pPr>
            <w:r>
              <w:rPr>
                <w:lang w:val="fr-FR"/>
              </w:rPr>
              <w:t>200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7</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5</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r>
      <w:tr w:rsidR="00FC2972" w:rsidTr="00FC2972">
        <w:trPr>
          <w:trHeight w:val="100"/>
          <w:jc w:val="center"/>
        </w:trPr>
        <w:tc>
          <w:tcPr>
            <w:tcW w:w="649" w:type="dxa"/>
            <w:vMerge/>
            <w:tcBorders>
              <w:left w:val="single" w:sz="4" w:space="0" w:color="auto"/>
              <w:right w:val="single" w:sz="4" w:space="0" w:color="auto"/>
            </w:tcBorders>
          </w:tcPr>
          <w:p w:rsidR="00FC2972" w:rsidRPr="00DD3199" w:rsidRDefault="00FC2972" w:rsidP="00FC2972">
            <w:pPr>
              <w:pStyle w:val="TAC"/>
            </w:pPr>
          </w:p>
        </w:tc>
        <w:tc>
          <w:tcPr>
            <w:tcW w:w="1473" w:type="dxa"/>
            <w:vMerge/>
            <w:tcBorders>
              <w:left w:val="single" w:sz="4" w:space="0" w:color="auto"/>
              <w:right w:val="single" w:sz="4" w:space="0" w:color="auto"/>
            </w:tcBorders>
          </w:tcPr>
          <w:p w:rsidR="00FC2972" w:rsidRPr="00DD3199" w:rsidRDefault="00FC2972" w:rsidP="00FC2972">
            <w:pPr>
              <w:pStyle w:val="TAC"/>
            </w:pPr>
          </w:p>
        </w:tc>
        <w:tc>
          <w:tcPr>
            <w:tcW w:w="1304" w:type="dxa"/>
            <w:tcBorders>
              <w:left w:val="single" w:sz="4" w:space="0" w:color="auto"/>
              <w:right w:val="single" w:sz="4" w:space="0" w:color="auto"/>
            </w:tcBorders>
          </w:tcPr>
          <w:p w:rsidR="00FC2972" w:rsidRDefault="00FC2972" w:rsidP="00FC2972">
            <w:pPr>
              <w:pStyle w:val="TAC"/>
              <w:rPr>
                <w:lang w:val="fr-FR"/>
              </w:rPr>
            </w:pPr>
            <w:r>
              <w:rPr>
                <w:rFonts w:hint="eastAsia"/>
                <w:lang w:val="fr-FR"/>
              </w:rPr>
              <w:t>500</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9</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7</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6</w:t>
            </w:r>
          </w:p>
        </w:tc>
        <w:tc>
          <w:tcPr>
            <w:tcW w:w="1304" w:type="dxa"/>
            <w:tcBorders>
              <w:left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6</w:t>
            </w:r>
          </w:p>
        </w:tc>
      </w:tr>
      <w:tr w:rsidR="00FC2972" w:rsidTr="00FC2972">
        <w:trPr>
          <w:trHeight w:val="100"/>
          <w:jc w:val="center"/>
        </w:trPr>
        <w:tc>
          <w:tcPr>
            <w:tcW w:w="649" w:type="dxa"/>
            <w:vMerge/>
            <w:tcBorders>
              <w:left w:val="single" w:sz="4" w:space="0" w:color="auto"/>
              <w:bottom w:val="single" w:sz="4" w:space="0" w:color="auto"/>
              <w:right w:val="single" w:sz="4" w:space="0" w:color="auto"/>
            </w:tcBorders>
          </w:tcPr>
          <w:p w:rsidR="00FC2972" w:rsidRPr="00DD3199" w:rsidRDefault="00FC2972" w:rsidP="00FC2972">
            <w:pPr>
              <w:pStyle w:val="TAC"/>
            </w:pPr>
          </w:p>
        </w:tc>
        <w:tc>
          <w:tcPr>
            <w:tcW w:w="1473" w:type="dxa"/>
            <w:vMerge/>
            <w:tcBorders>
              <w:left w:val="single" w:sz="4" w:space="0" w:color="auto"/>
              <w:bottom w:val="single" w:sz="4" w:space="0" w:color="auto"/>
              <w:right w:val="single" w:sz="4" w:space="0" w:color="auto"/>
            </w:tcBorders>
          </w:tcPr>
          <w:p w:rsidR="00FC2972" w:rsidRPr="00DD3199" w:rsidRDefault="00FC2972" w:rsidP="00FC2972">
            <w:pPr>
              <w:pStyle w:val="TAC"/>
            </w:pPr>
          </w:p>
        </w:tc>
        <w:tc>
          <w:tcPr>
            <w:tcW w:w="1304" w:type="dxa"/>
            <w:tcBorders>
              <w:left w:val="single" w:sz="4" w:space="0" w:color="auto"/>
              <w:bottom w:val="single" w:sz="4" w:space="0" w:color="auto"/>
              <w:right w:val="single" w:sz="4" w:space="0" w:color="auto"/>
            </w:tcBorders>
          </w:tcPr>
          <w:p w:rsidR="00FC2972" w:rsidRDefault="00FC2972" w:rsidP="00FC2972">
            <w:pPr>
              <w:pStyle w:val="TAC"/>
              <w:rPr>
                <w:lang w:val="fr-FR"/>
              </w:rPr>
            </w:pPr>
            <w:r>
              <w:rPr>
                <w:rFonts w:hint="eastAsia"/>
                <w:lang w:val="fr-FR"/>
              </w:rPr>
              <w:t>900</w:t>
            </w:r>
          </w:p>
        </w:tc>
        <w:tc>
          <w:tcPr>
            <w:tcW w:w="1304" w:type="dxa"/>
            <w:tcBorders>
              <w:left w:val="single" w:sz="4" w:space="0" w:color="auto"/>
              <w:bottom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12</w:t>
            </w:r>
          </w:p>
        </w:tc>
        <w:tc>
          <w:tcPr>
            <w:tcW w:w="1304" w:type="dxa"/>
            <w:tcBorders>
              <w:left w:val="single" w:sz="4" w:space="0" w:color="auto"/>
              <w:bottom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10</w:t>
            </w:r>
          </w:p>
        </w:tc>
        <w:tc>
          <w:tcPr>
            <w:tcW w:w="1304" w:type="dxa"/>
            <w:tcBorders>
              <w:left w:val="single" w:sz="4" w:space="0" w:color="auto"/>
              <w:bottom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10</w:t>
            </w:r>
          </w:p>
        </w:tc>
        <w:tc>
          <w:tcPr>
            <w:tcW w:w="1304" w:type="dxa"/>
            <w:tcBorders>
              <w:left w:val="single" w:sz="4" w:space="0" w:color="auto"/>
              <w:bottom w:val="single" w:sz="4" w:space="0" w:color="auto"/>
              <w:right w:val="single" w:sz="4" w:space="0" w:color="auto"/>
            </w:tcBorders>
            <w:vAlign w:val="bottom"/>
          </w:tcPr>
          <w:p w:rsidR="00FC2972" w:rsidRPr="00FC2972" w:rsidRDefault="00FC2972" w:rsidP="00FC297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9</w:t>
            </w:r>
          </w:p>
        </w:tc>
      </w:tr>
    </w:tbl>
    <w:p w:rsidR="00FC2972" w:rsidRDefault="00FC2972" w:rsidP="00B573A3">
      <w:pPr>
        <w:rPr>
          <w:lang w:val="en-US"/>
        </w:rPr>
      </w:pPr>
    </w:p>
    <w:p w:rsidR="002E65D0" w:rsidRDefault="002722F3" w:rsidP="00B573A3">
      <w:pPr>
        <w:rPr>
          <w:lang w:val="en-US"/>
        </w:rPr>
      </w:pPr>
      <w:r>
        <w:rPr>
          <w:rFonts w:hint="eastAsia"/>
          <w:lang w:val="en-US"/>
        </w:rPr>
        <w:t>For the other cases</w:t>
      </w:r>
      <w:r w:rsidR="000500D8">
        <w:rPr>
          <w:lang w:val="en-US"/>
        </w:rPr>
        <w:t>, no exact agreements were made.</w:t>
      </w:r>
      <w:r>
        <w:rPr>
          <w:rFonts w:hint="eastAsia"/>
          <w:lang w:val="en-US"/>
        </w:rPr>
        <w:t xml:space="preserve"> </w:t>
      </w:r>
      <w:r w:rsidR="000500D8">
        <w:rPr>
          <w:lang w:val="en-US"/>
        </w:rPr>
        <w:t>Further discussion are needed.</w:t>
      </w:r>
    </w:p>
    <w:tbl>
      <w:tblPr>
        <w:tblStyle w:val="af9"/>
        <w:tblW w:w="0" w:type="auto"/>
        <w:tblLook w:val="04A0" w:firstRow="1" w:lastRow="0" w:firstColumn="1" w:lastColumn="0" w:noHBand="0" w:noVBand="1"/>
      </w:tblPr>
      <w:tblGrid>
        <w:gridCol w:w="9629"/>
      </w:tblGrid>
      <w:tr w:rsidR="002E65D0" w:rsidTr="002E65D0">
        <w:tc>
          <w:tcPr>
            <w:tcW w:w="9629" w:type="dxa"/>
          </w:tcPr>
          <w:p w:rsidR="00F578F2" w:rsidRPr="002E65D0" w:rsidRDefault="008709A1" w:rsidP="002E65D0">
            <w:pPr>
              <w:numPr>
                <w:ilvl w:val="0"/>
                <w:numId w:val="18"/>
              </w:numPr>
              <w:tabs>
                <w:tab w:val="num" w:pos="720"/>
              </w:tabs>
              <w:rPr>
                <w:i/>
                <w:lang w:val="en-US"/>
              </w:rPr>
            </w:pPr>
            <w:r w:rsidRPr="002E65D0">
              <w:rPr>
                <w:i/>
                <w:lang w:val="en-US"/>
              </w:rPr>
              <w:t>Interruptions on LTE serving cells during NR SRS carrier switching in EN-DC and NE-DC operation</w:t>
            </w:r>
          </w:p>
          <w:p w:rsidR="00F578F2" w:rsidRPr="002E65D0" w:rsidRDefault="008709A1" w:rsidP="002E65D0">
            <w:pPr>
              <w:numPr>
                <w:ilvl w:val="1"/>
                <w:numId w:val="18"/>
              </w:numPr>
              <w:tabs>
                <w:tab w:val="num" w:pos="1440"/>
              </w:tabs>
              <w:rPr>
                <w:i/>
                <w:lang w:val="en-US"/>
              </w:rPr>
            </w:pPr>
            <w:r w:rsidRPr="002E65D0">
              <w:rPr>
                <w:i/>
                <w:lang w:val="en-US"/>
              </w:rPr>
              <w:t>Option 1: Same as interruptions on 15kHz victim cells in table in slide 4</w:t>
            </w:r>
          </w:p>
          <w:p w:rsidR="00F578F2" w:rsidRPr="002E65D0" w:rsidRDefault="008709A1" w:rsidP="002E65D0">
            <w:pPr>
              <w:numPr>
                <w:ilvl w:val="1"/>
                <w:numId w:val="18"/>
              </w:numPr>
              <w:tabs>
                <w:tab w:val="num" w:pos="1440"/>
              </w:tabs>
              <w:rPr>
                <w:i/>
                <w:lang w:val="en-US"/>
              </w:rPr>
            </w:pPr>
            <w:r w:rsidRPr="002E65D0">
              <w:rPr>
                <w:i/>
                <w:lang w:val="en-US"/>
              </w:rPr>
              <w:t>Other options are not precluded</w:t>
            </w:r>
          </w:p>
          <w:p w:rsidR="00F578F2" w:rsidRPr="002E65D0" w:rsidRDefault="008709A1" w:rsidP="002E65D0">
            <w:pPr>
              <w:numPr>
                <w:ilvl w:val="0"/>
                <w:numId w:val="18"/>
              </w:numPr>
              <w:tabs>
                <w:tab w:val="num" w:pos="720"/>
              </w:tabs>
              <w:rPr>
                <w:i/>
                <w:lang w:val="en-US"/>
              </w:rPr>
            </w:pPr>
            <w:r w:rsidRPr="002E65D0">
              <w:rPr>
                <w:i/>
                <w:lang w:val="en-US"/>
              </w:rPr>
              <w:t>Interruptions due to LTE SRS carrier switching in EN-DC and NE-DC operation</w:t>
            </w:r>
          </w:p>
          <w:p w:rsidR="00F578F2" w:rsidRPr="002E65D0" w:rsidRDefault="008709A1" w:rsidP="002E65D0">
            <w:pPr>
              <w:numPr>
                <w:ilvl w:val="1"/>
                <w:numId w:val="18"/>
              </w:numPr>
              <w:tabs>
                <w:tab w:val="num" w:pos="1440"/>
              </w:tabs>
              <w:rPr>
                <w:i/>
                <w:lang w:val="en-US"/>
              </w:rPr>
            </w:pPr>
            <w:r w:rsidRPr="002E65D0">
              <w:rPr>
                <w:i/>
                <w:lang w:val="en-US"/>
              </w:rPr>
              <w:t>Option 1: Define requirements for 500us SRS carrier switching time</w:t>
            </w:r>
          </w:p>
          <w:p w:rsidR="00F578F2" w:rsidRPr="002E65D0" w:rsidRDefault="008709A1" w:rsidP="002E65D0">
            <w:pPr>
              <w:numPr>
                <w:ilvl w:val="1"/>
                <w:numId w:val="18"/>
              </w:numPr>
              <w:tabs>
                <w:tab w:val="num" w:pos="1440"/>
              </w:tabs>
              <w:rPr>
                <w:i/>
                <w:lang w:val="en-US"/>
              </w:rPr>
            </w:pPr>
            <w:r w:rsidRPr="002E65D0">
              <w:rPr>
                <w:i/>
                <w:lang w:val="en-US"/>
              </w:rPr>
              <w:t>Other options are not precluded</w:t>
            </w:r>
          </w:p>
          <w:p w:rsidR="00F578F2" w:rsidRPr="002E65D0" w:rsidRDefault="008709A1" w:rsidP="002E65D0">
            <w:pPr>
              <w:numPr>
                <w:ilvl w:val="0"/>
                <w:numId w:val="18"/>
              </w:numPr>
              <w:tabs>
                <w:tab w:val="num" w:pos="720"/>
              </w:tabs>
              <w:rPr>
                <w:i/>
                <w:lang w:val="en-US"/>
              </w:rPr>
            </w:pPr>
            <w:r w:rsidRPr="002E65D0">
              <w:rPr>
                <w:i/>
                <w:lang w:val="en-US"/>
              </w:rPr>
              <w:t>Interruptions on NR serving cells during LTE SRS carrier switching in EN-DC and NE-DC operation</w:t>
            </w:r>
          </w:p>
          <w:p w:rsidR="00F578F2" w:rsidRPr="002E65D0" w:rsidRDefault="008709A1" w:rsidP="002E65D0">
            <w:pPr>
              <w:numPr>
                <w:ilvl w:val="1"/>
                <w:numId w:val="18"/>
              </w:numPr>
              <w:tabs>
                <w:tab w:val="num" w:pos="1440"/>
              </w:tabs>
              <w:rPr>
                <w:i/>
                <w:lang w:val="en-US"/>
              </w:rPr>
            </w:pPr>
            <w:r w:rsidRPr="002E65D0">
              <w:rPr>
                <w:i/>
                <w:lang w:val="en-US"/>
              </w:rPr>
              <w:t>Option 1: Same as interruptions for 500us SRS carrier switching time in table in slide 4</w:t>
            </w:r>
          </w:p>
          <w:p w:rsidR="00F578F2" w:rsidRPr="002E65D0" w:rsidRDefault="008709A1" w:rsidP="002E65D0">
            <w:pPr>
              <w:numPr>
                <w:ilvl w:val="1"/>
                <w:numId w:val="18"/>
              </w:numPr>
              <w:tabs>
                <w:tab w:val="num" w:pos="1440"/>
              </w:tabs>
              <w:rPr>
                <w:i/>
                <w:lang w:val="en-US"/>
              </w:rPr>
            </w:pPr>
            <w:r w:rsidRPr="002E65D0">
              <w:rPr>
                <w:i/>
                <w:lang w:val="en-US"/>
              </w:rPr>
              <w:t>Other options are not precluded</w:t>
            </w:r>
          </w:p>
          <w:p w:rsidR="00F578F2" w:rsidRPr="002E65D0" w:rsidRDefault="008709A1" w:rsidP="002E65D0">
            <w:pPr>
              <w:numPr>
                <w:ilvl w:val="0"/>
                <w:numId w:val="18"/>
              </w:numPr>
              <w:tabs>
                <w:tab w:val="num" w:pos="720"/>
              </w:tabs>
              <w:rPr>
                <w:i/>
                <w:lang w:val="en-US"/>
              </w:rPr>
            </w:pPr>
            <w:r w:rsidRPr="002E65D0">
              <w:rPr>
                <w:i/>
                <w:lang w:val="en-US"/>
              </w:rPr>
              <w:t>Interruptions on LTE serving cells during LTE SRS carrier switching in EN-DC and NE-DC operation</w:t>
            </w:r>
          </w:p>
          <w:p w:rsidR="00F578F2" w:rsidRPr="002E65D0" w:rsidRDefault="008709A1" w:rsidP="002E65D0">
            <w:pPr>
              <w:numPr>
                <w:ilvl w:val="1"/>
                <w:numId w:val="18"/>
              </w:numPr>
              <w:tabs>
                <w:tab w:val="num" w:pos="1440"/>
              </w:tabs>
              <w:rPr>
                <w:i/>
                <w:lang w:val="en-US"/>
              </w:rPr>
            </w:pPr>
            <w:r w:rsidRPr="002E65D0">
              <w:rPr>
                <w:i/>
                <w:lang w:val="en-US"/>
              </w:rPr>
              <w:t>Option 1: Same as interruptions for 500us SRS carrier switching time on 15kHz victim cells in table in slide 4</w:t>
            </w:r>
          </w:p>
          <w:p w:rsidR="002E65D0" w:rsidRDefault="008709A1" w:rsidP="002722F3">
            <w:pPr>
              <w:numPr>
                <w:ilvl w:val="1"/>
                <w:numId w:val="18"/>
              </w:numPr>
              <w:tabs>
                <w:tab w:val="num" w:pos="1440"/>
              </w:tabs>
              <w:rPr>
                <w:lang w:val="en-US"/>
              </w:rPr>
            </w:pPr>
            <w:r w:rsidRPr="002E65D0">
              <w:rPr>
                <w:i/>
                <w:lang w:val="en-US"/>
              </w:rPr>
              <w:t>Other options are not precluded</w:t>
            </w:r>
          </w:p>
        </w:tc>
      </w:tr>
    </w:tbl>
    <w:p w:rsidR="002E65D0" w:rsidRDefault="002E65D0" w:rsidP="00B573A3">
      <w:pPr>
        <w:rPr>
          <w:lang w:val="en-US"/>
        </w:rPr>
      </w:pPr>
    </w:p>
    <w:p w:rsidR="002722F3" w:rsidRPr="00FC2972" w:rsidRDefault="002722F3" w:rsidP="002722F3">
      <w:pPr>
        <w:numPr>
          <w:ilvl w:val="0"/>
          <w:numId w:val="17"/>
        </w:numPr>
        <w:rPr>
          <w:b/>
          <w:lang w:val="en-US"/>
        </w:rPr>
      </w:pPr>
      <w:r w:rsidRPr="00FC2972">
        <w:rPr>
          <w:b/>
        </w:rPr>
        <w:t xml:space="preserve">Case </w:t>
      </w:r>
      <w:r>
        <w:rPr>
          <w:b/>
        </w:rPr>
        <w:t>2</w:t>
      </w:r>
      <w:r w:rsidRPr="00FC2972">
        <w:rPr>
          <w:b/>
        </w:rPr>
        <w:t xml:space="preserve">: </w:t>
      </w:r>
      <w:r w:rsidRPr="00FC2972">
        <w:rPr>
          <w:b/>
          <w:lang w:val="en-US"/>
        </w:rPr>
        <w:t>Interruptions on</w:t>
      </w:r>
      <w:r>
        <w:rPr>
          <w:b/>
          <w:lang w:val="en-US"/>
        </w:rPr>
        <w:t xml:space="preserve"> LTE</w:t>
      </w:r>
      <w:r w:rsidRPr="00FC2972">
        <w:rPr>
          <w:b/>
          <w:lang w:val="en-US"/>
        </w:rPr>
        <w:t xml:space="preserve"> victim cells during NR SRS carrier switching on switching to/switching from CC in EN-DC, NE-DC, NR-DC and SA operation</w:t>
      </w:r>
    </w:p>
    <w:p w:rsidR="002722F3" w:rsidRDefault="003B485E" w:rsidP="002722F3">
      <w:pPr>
        <w:rPr>
          <w:lang w:val="en-US"/>
        </w:rPr>
      </w:pPr>
      <w:r>
        <w:rPr>
          <w:rFonts w:hint="eastAsia"/>
          <w:lang w:val="en-US"/>
        </w:rPr>
        <w:t xml:space="preserve">Since </w:t>
      </w:r>
      <w:r>
        <w:rPr>
          <w:lang w:val="en-US"/>
        </w:rPr>
        <w:t xml:space="preserve">only </w:t>
      </w:r>
      <w:r>
        <w:rPr>
          <w:rFonts w:hint="eastAsia"/>
          <w:lang w:val="en-US"/>
        </w:rPr>
        <w:t>15</w:t>
      </w:r>
      <w:r>
        <w:rPr>
          <w:lang w:val="en-US"/>
        </w:rPr>
        <w:t xml:space="preserve"> </w:t>
      </w:r>
      <w:r>
        <w:rPr>
          <w:rFonts w:hint="eastAsia"/>
          <w:lang w:val="en-US"/>
        </w:rPr>
        <w:t xml:space="preserve">kHz </w:t>
      </w:r>
      <w:r>
        <w:rPr>
          <w:lang w:val="en-US"/>
        </w:rPr>
        <w:t>subcarrier spacing is used in LTE cell, the interruptions due to NR SRS carrier switching should be the same as interruptions on NR victim cell with 15 kHz subcarrier spacing.</w:t>
      </w:r>
    </w:p>
    <w:p w:rsidR="0070481E" w:rsidRPr="0070481E" w:rsidRDefault="0070481E" w:rsidP="002722F3">
      <w:pPr>
        <w:rPr>
          <w:lang w:val="en-US"/>
        </w:rPr>
      </w:pPr>
      <w:r w:rsidRPr="003B485E">
        <w:rPr>
          <w:lang w:val="en-US"/>
        </w:rPr>
        <w:t>T</w:t>
      </w:r>
      <w:r w:rsidRPr="003B485E">
        <w:rPr>
          <w:rFonts w:hint="eastAsia"/>
          <w:lang w:val="en-US"/>
        </w:rPr>
        <w:t xml:space="preserve">he </w:t>
      </w:r>
      <w:r>
        <w:rPr>
          <w:lang w:val="en-US"/>
        </w:rPr>
        <w:t>interruption length is as summarized in Table 2 below.</w:t>
      </w:r>
    </w:p>
    <w:p w:rsidR="003B485E" w:rsidRPr="003B485E" w:rsidRDefault="003B485E" w:rsidP="003B485E">
      <w:pPr>
        <w:jc w:val="center"/>
        <w:rPr>
          <w:lang w:val="en-US"/>
        </w:rPr>
      </w:pPr>
      <w:r>
        <w:rPr>
          <w:lang w:val="en-US"/>
        </w:rPr>
        <w:lastRenderedPageBreak/>
        <w:t xml:space="preserve">Table </w:t>
      </w:r>
      <w:r w:rsidR="000D7397">
        <w:rPr>
          <w:lang w:val="en-US"/>
        </w:rPr>
        <w:t>2</w:t>
      </w:r>
      <w:r>
        <w:rPr>
          <w:lang w:val="en-US"/>
        </w:rPr>
        <w:t>. Interruption length on</w:t>
      </w:r>
      <w:r w:rsidR="000D7397">
        <w:rPr>
          <w:lang w:val="en-US"/>
        </w:rPr>
        <w:t xml:space="preserve"> LTE</w:t>
      </w:r>
      <w:r>
        <w:rPr>
          <w:lang w:val="en-US"/>
        </w:rPr>
        <w:t xml:space="preserve"> victim cell during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304"/>
        <w:gridCol w:w="1304"/>
        <w:gridCol w:w="1304"/>
        <w:gridCol w:w="1304"/>
        <w:gridCol w:w="1304"/>
      </w:tblGrid>
      <w:tr w:rsidR="0070481E" w:rsidTr="000975F2">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rsidR="0070481E" w:rsidRPr="00DD3199" w:rsidRDefault="0070481E" w:rsidP="000975F2">
            <w:pPr>
              <w:keepNext/>
              <w:keepLines/>
              <w:spacing w:after="0"/>
              <w:jc w:val="center"/>
            </w:pPr>
            <w:r w:rsidRPr="00DD3199">
              <w:rPr>
                <w:rFonts w:ascii="Arial" w:hAnsi="Arial"/>
                <w:b/>
                <w:noProof/>
                <w:sz w:val="18"/>
                <w:lang w:val="en-US"/>
              </w:rPr>
              <w:drawing>
                <wp:inline distT="0" distB="0" distL="0" distR="0" wp14:anchorId="4E974CAA" wp14:editId="1D6506FA">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rsidR="0070481E" w:rsidRPr="00DD3199" w:rsidRDefault="0070481E" w:rsidP="000975F2">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r>
              <w:rPr>
                <w:rFonts w:ascii="Arial" w:hAnsi="Arial"/>
                <w:b/>
                <w:sz w:val="18"/>
              </w:rPr>
              <w:t xml:space="preserve"> of victim cell</w:t>
            </w:r>
          </w:p>
        </w:tc>
        <w:tc>
          <w:tcPr>
            <w:tcW w:w="1304" w:type="dxa"/>
            <w:vMerge w:val="restart"/>
            <w:tcBorders>
              <w:top w:val="single" w:sz="4" w:space="0" w:color="auto"/>
              <w:left w:val="single" w:sz="4" w:space="0" w:color="auto"/>
              <w:right w:val="single" w:sz="4" w:space="0" w:color="auto"/>
            </w:tcBorders>
            <w:hideMark/>
          </w:tcPr>
          <w:p w:rsidR="0070481E" w:rsidRPr="00DD3199" w:rsidRDefault="0070481E" w:rsidP="000975F2">
            <w:pPr>
              <w:keepNext/>
              <w:keepLines/>
              <w:spacing w:after="0"/>
              <w:jc w:val="center"/>
            </w:pPr>
            <w:r>
              <w:rPr>
                <w:rFonts w:ascii="Arial" w:hAnsi="Arial"/>
                <w:b/>
                <w:sz w:val="18"/>
                <w:lang w:val="fr-FR"/>
              </w:rPr>
              <w:t>SRS carrier switching time (us)</w:t>
            </w:r>
          </w:p>
        </w:tc>
        <w:tc>
          <w:tcPr>
            <w:tcW w:w="5216" w:type="dxa"/>
            <w:gridSpan w:val="4"/>
            <w:tcBorders>
              <w:top w:val="single" w:sz="4" w:space="0" w:color="auto"/>
              <w:left w:val="single" w:sz="4" w:space="0" w:color="auto"/>
              <w:right w:val="single" w:sz="4" w:space="0" w:color="auto"/>
            </w:tcBorders>
          </w:tcPr>
          <w:p w:rsidR="0070481E" w:rsidRDefault="0070481E" w:rsidP="000975F2">
            <w:pPr>
              <w:keepNext/>
              <w:keepLines/>
              <w:spacing w:after="0"/>
              <w:jc w:val="center"/>
              <w:rPr>
                <w:rFonts w:ascii="Arial" w:hAnsi="Arial"/>
                <w:b/>
                <w:sz w:val="18"/>
                <w:lang w:val="fr-FR"/>
              </w:rPr>
            </w:pPr>
            <w:r>
              <w:rPr>
                <w:rFonts w:ascii="Arial" w:hAnsi="Arial"/>
                <w:b/>
                <w:sz w:val="18"/>
                <w:lang w:val="fr-FR"/>
              </w:rPr>
              <w:t>Interruption length X (slots)</w:t>
            </w:r>
          </w:p>
        </w:tc>
      </w:tr>
      <w:tr w:rsidR="0070481E" w:rsidTr="000975F2">
        <w:trPr>
          <w:trHeight w:val="150"/>
          <w:jc w:val="center"/>
        </w:trPr>
        <w:tc>
          <w:tcPr>
            <w:tcW w:w="649" w:type="dxa"/>
            <w:vMerge/>
            <w:tcBorders>
              <w:left w:val="single" w:sz="4" w:space="0" w:color="auto"/>
              <w:right w:val="single" w:sz="4" w:space="0" w:color="auto"/>
            </w:tcBorders>
            <w:vAlign w:val="center"/>
          </w:tcPr>
          <w:p w:rsidR="0070481E" w:rsidRPr="00DD3199" w:rsidRDefault="0070481E" w:rsidP="000975F2">
            <w:pPr>
              <w:keepNext/>
              <w:keepLines/>
              <w:spacing w:after="0"/>
              <w:jc w:val="center"/>
              <w:rPr>
                <w:rFonts w:ascii="Arial" w:hAnsi="Arial"/>
                <w:b/>
                <w:noProof/>
                <w:sz w:val="18"/>
                <w:lang w:val="en-US"/>
              </w:rPr>
            </w:pPr>
          </w:p>
        </w:tc>
        <w:tc>
          <w:tcPr>
            <w:tcW w:w="1473" w:type="dxa"/>
            <w:vMerge/>
            <w:tcBorders>
              <w:left w:val="single" w:sz="4" w:space="0" w:color="auto"/>
              <w:right w:val="single" w:sz="4" w:space="0" w:color="auto"/>
            </w:tcBorders>
          </w:tcPr>
          <w:p w:rsidR="0070481E" w:rsidRPr="00DD3199" w:rsidRDefault="0070481E" w:rsidP="000975F2">
            <w:pPr>
              <w:keepNext/>
              <w:keepLines/>
              <w:spacing w:after="0"/>
              <w:jc w:val="center"/>
              <w:rPr>
                <w:rFonts w:ascii="Arial" w:hAnsi="Arial"/>
                <w:b/>
                <w:sz w:val="18"/>
              </w:rPr>
            </w:pPr>
          </w:p>
        </w:tc>
        <w:tc>
          <w:tcPr>
            <w:tcW w:w="1304" w:type="dxa"/>
            <w:vMerge/>
            <w:tcBorders>
              <w:left w:val="single" w:sz="4" w:space="0" w:color="auto"/>
              <w:right w:val="single" w:sz="4" w:space="0" w:color="auto"/>
            </w:tcBorders>
          </w:tcPr>
          <w:p w:rsidR="0070481E" w:rsidRDefault="0070481E" w:rsidP="000975F2">
            <w:pPr>
              <w:keepNext/>
              <w:keepLines/>
              <w:spacing w:after="0"/>
              <w:jc w:val="center"/>
              <w:rPr>
                <w:rFonts w:ascii="Arial" w:hAnsi="Arial"/>
                <w:b/>
                <w:sz w:val="18"/>
                <w:lang w:val="fr-FR"/>
              </w:rPr>
            </w:pPr>
          </w:p>
        </w:tc>
        <w:tc>
          <w:tcPr>
            <w:tcW w:w="5216" w:type="dxa"/>
            <w:gridSpan w:val="4"/>
            <w:tcBorders>
              <w:top w:val="single" w:sz="4" w:space="0" w:color="auto"/>
              <w:left w:val="single" w:sz="4" w:space="0" w:color="auto"/>
              <w:right w:val="single" w:sz="4" w:space="0" w:color="auto"/>
            </w:tcBorders>
          </w:tcPr>
          <w:p w:rsidR="0070481E" w:rsidRDefault="0070481E" w:rsidP="000975F2">
            <w:pPr>
              <w:keepNext/>
              <w:keepLines/>
              <w:spacing w:after="0"/>
              <w:jc w:val="center"/>
              <w:rPr>
                <w:rFonts w:ascii="Arial" w:hAnsi="Arial"/>
                <w:b/>
                <w:sz w:val="18"/>
                <w:lang w:val="fr-FR"/>
              </w:rPr>
            </w:pPr>
            <w:r>
              <w:rPr>
                <w:rFonts w:ascii="Arial" w:hAnsi="Arial"/>
                <w:b/>
                <w:sz w:val="18"/>
                <w:lang w:val="fr-FR"/>
              </w:rPr>
              <w:t>Sub carrier spacing for agressor cell (kHz)</w:t>
            </w:r>
          </w:p>
        </w:tc>
      </w:tr>
      <w:tr w:rsidR="0070481E" w:rsidTr="000975F2">
        <w:trPr>
          <w:trHeight w:val="150"/>
          <w:jc w:val="center"/>
        </w:trPr>
        <w:tc>
          <w:tcPr>
            <w:tcW w:w="649" w:type="dxa"/>
            <w:vMerge/>
            <w:tcBorders>
              <w:left w:val="single" w:sz="4" w:space="0" w:color="auto"/>
              <w:bottom w:val="single" w:sz="4" w:space="0" w:color="auto"/>
              <w:right w:val="single" w:sz="4" w:space="0" w:color="auto"/>
            </w:tcBorders>
            <w:vAlign w:val="center"/>
          </w:tcPr>
          <w:p w:rsidR="0070481E" w:rsidRPr="00DD3199" w:rsidRDefault="0070481E" w:rsidP="000975F2">
            <w:pPr>
              <w:keepNext/>
              <w:keepLines/>
              <w:spacing w:after="0"/>
              <w:jc w:val="center"/>
              <w:rPr>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rsidR="0070481E" w:rsidRPr="00DD3199" w:rsidRDefault="0070481E" w:rsidP="000975F2">
            <w:pPr>
              <w:keepNext/>
              <w:keepLines/>
              <w:spacing w:after="0"/>
              <w:jc w:val="center"/>
              <w:rPr>
                <w:rFonts w:ascii="Arial" w:hAnsi="Arial"/>
                <w:b/>
                <w:sz w:val="18"/>
              </w:rPr>
            </w:pPr>
          </w:p>
        </w:tc>
        <w:tc>
          <w:tcPr>
            <w:tcW w:w="1304" w:type="dxa"/>
            <w:vMerge/>
            <w:tcBorders>
              <w:left w:val="single" w:sz="4" w:space="0" w:color="auto"/>
              <w:right w:val="single" w:sz="4" w:space="0" w:color="auto"/>
            </w:tcBorders>
          </w:tcPr>
          <w:p w:rsidR="0070481E" w:rsidRDefault="0070481E" w:rsidP="000975F2">
            <w:pPr>
              <w:keepNext/>
              <w:keepLines/>
              <w:spacing w:after="0"/>
              <w:jc w:val="center"/>
              <w:rPr>
                <w:rFonts w:ascii="Arial" w:hAnsi="Arial"/>
                <w:b/>
                <w:sz w:val="18"/>
                <w:lang w:val="fr-FR"/>
              </w:rPr>
            </w:pPr>
          </w:p>
        </w:tc>
        <w:tc>
          <w:tcPr>
            <w:tcW w:w="1304" w:type="dxa"/>
            <w:tcBorders>
              <w:top w:val="single" w:sz="4" w:space="0" w:color="auto"/>
              <w:left w:val="single" w:sz="4" w:space="0" w:color="auto"/>
              <w:right w:val="single" w:sz="4" w:space="0" w:color="auto"/>
            </w:tcBorders>
          </w:tcPr>
          <w:p w:rsidR="0070481E" w:rsidRPr="00FC2972" w:rsidRDefault="0070481E" w:rsidP="000975F2">
            <w:pPr>
              <w:keepNext/>
              <w:keepLines/>
              <w:spacing w:after="0"/>
              <w:jc w:val="center"/>
              <w:rPr>
                <w:rFonts w:ascii="Arial" w:hAnsi="Arial"/>
                <w:sz w:val="18"/>
                <w:lang w:val="fr-FR"/>
              </w:rPr>
            </w:pPr>
            <w:r w:rsidRPr="00FC2972">
              <w:rPr>
                <w:rFonts w:ascii="Arial" w:hAnsi="Arial"/>
                <w:sz w:val="18"/>
                <w:lang w:val="fr-FR"/>
              </w:rPr>
              <w:t>15</w:t>
            </w:r>
          </w:p>
        </w:tc>
        <w:tc>
          <w:tcPr>
            <w:tcW w:w="1304" w:type="dxa"/>
            <w:tcBorders>
              <w:top w:val="single" w:sz="4" w:space="0" w:color="auto"/>
              <w:left w:val="single" w:sz="4" w:space="0" w:color="auto"/>
              <w:right w:val="single" w:sz="4" w:space="0" w:color="auto"/>
            </w:tcBorders>
          </w:tcPr>
          <w:p w:rsidR="0070481E" w:rsidRPr="00FC2972" w:rsidRDefault="0070481E" w:rsidP="000975F2">
            <w:pPr>
              <w:keepNext/>
              <w:keepLines/>
              <w:spacing w:after="0"/>
              <w:jc w:val="center"/>
              <w:rPr>
                <w:rFonts w:ascii="Arial" w:hAnsi="Arial"/>
                <w:sz w:val="18"/>
                <w:lang w:val="fr-FR"/>
              </w:rPr>
            </w:pPr>
            <w:r w:rsidRPr="00FC2972">
              <w:rPr>
                <w:rFonts w:ascii="Arial" w:hAnsi="Arial" w:hint="eastAsia"/>
                <w:sz w:val="18"/>
                <w:lang w:val="fr-FR"/>
              </w:rPr>
              <w:t>30</w:t>
            </w:r>
          </w:p>
        </w:tc>
        <w:tc>
          <w:tcPr>
            <w:tcW w:w="1304" w:type="dxa"/>
            <w:tcBorders>
              <w:top w:val="single" w:sz="4" w:space="0" w:color="auto"/>
              <w:left w:val="single" w:sz="4" w:space="0" w:color="auto"/>
              <w:right w:val="single" w:sz="4" w:space="0" w:color="auto"/>
            </w:tcBorders>
          </w:tcPr>
          <w:p w:rsidR="0070481E" w:rsidRPr="00FC2972" w:rsidRDefault="0070481E" w:rsidP="000975F2">
            <w:pPr>
              <w:keepNext/>
              <w:keepLines/>
              <w:spacing w:after="0"/>
              <w:jc w:val="center"/>
              <w:rPr>
                <w:rFonts w:ascii="Arial" w:hAnsi="Arial"/>
                <w:sz w:val="18"/>
                <w:lang w:val="fr-FR"/>
              </w:rPr>
            </w:pPr>
            <w:r w:rsidRPr="00FC2972">
              <w:rPr>
                <w:rFonts w:ascii="Arial" w:hAnsi="Arial" w:hint="eastAsia"/>
                <w:sz w:val="18"/>
                <w:lang w:val="fr-FR"/>
              </w:rPr>
              <w:t>60</w:t>
            </w:r>
          </w:p>
        </w:tc>
        <w:tc>
          <w:tcPr>
            <w:tcW w:w="1304" w:type="dxa"/>
            <w:tcBorders>
              <w:top w:val="single" w:sz="4" w:space="0" w:color="auto"/>
              <w:left w:val="single" w:sz="4" w:space="0" w:color="auto"/>
              <w:right w:val="single" w:sz="4" w:space="0" w:color="auto"/>
            </w:tcBorders>
          </w:tcPr>
          <w:p w:rsidR="0070481E" w:rsidRPr="00FC2972" w:rsidRDefault="0070481E" w:rsidP="000975F2">
            <w:pPr>
              <w:keepNext/>
              <w:keepLines/>
              <w:spacing w:after="0"/>
              <w:jc w:val="center"/>
              <w:rPr>
                <w:rFonts w:ascii="Arial" w:hAnsi="Arial"/>
                <w:sz w:val="18"/>
                <w:lang w:val="fr-FR"/>
              </w:rPr>
            </w:pPr>
            <w:r w:rsidRPr="00FC2972">
              <w:rPr>
                <w:rFonts w:ascii="Arial" w:hAnsi="Arial" w:hint="eastAsia"/>
                <w:sz w:val="18"/>
                <w:lang w:val="fr-FR"/>
              </w:rPr>
              <w:t>120</w:t>
            </w:r>
          </w:p>
        </w:tc>
      </w:tr>
      <w:tr w:rsidR="0070481E" w:rsidTr="000975F2">
        <w:trPr>
          <w:trHeight w:val="101"/>
          <w:jc w:val="center"/>
        </w:trPr>
        <w:tc>
          <w:tcPr>
            <w:tcW w:w="649" w:type="dxa"/>
            <w:vMerge w:val="restart"/>
            <w:tcBorders>
              <w:top w:val="single" w:sz="4" w:space="0" w:color="auto"/>
              <w:left w:val="single" w:sz="4" w:space="0" w:color="auto"/>
              <w:right w:val="single" w:sz="4" w:space="0" w:color="auto"/>
            </w:tcBorders>
            <w:hideMark/>
          </w:tcPr>
          <w:p w:rsidR="0070481E" w:rsidRPr="00DD3199" w:rsidRDefault="0070481E" w:rsidP="000975F2">
            <w:pPr>
              <w:pStyle w:val="TAC"/>
            </w:pPr>
            <w:r w:rsidRPr="00DD3199">
              <w:t>0</w:t>
            </w:r>
          </w:p>
        </w:tc>
        <w:tc>
          <w:tcPr>
            <w:tcW w:w="1473" w:type="dxa"/>
            <w:vMerge w:val="restart"/>
            <w:tcBorders>
              <w:top w:val="single" w:sz="4" w:space="0" w:color="auto"/>
              <w:left w:val="single" w:sz="4" w:space="0" w:color="auto"/>
              <w:right w:val="single" w:sz="4" w:space="0" w:color="auto"/>
            </w:tcBorders>
            <w:hideMark/>
          </w:tcPr>
          <w:p w:rsidR="0070481E" w:rsidRPr="00DD3199" w:rsidRDefault="0070481E" w:rsidP="000975F2">
            <w:pPr>
              <w:pStyle w:val="TAC"/>
            </w:pPr>
            <w:r w:rsidRPr="00DD3199">
              <w:t>1</w:t>
            </w:r>
          </w:p>
        </w:tc>
        <w:tc>
          <w:tcPr>
            <w:tcW w:w="1304" w:type="dxa"/>
            <w:tcBorders>
              <w:left w:val="single" w:sz="4" w:space="0" w:color="auto"/>
              <w:right w:val="single" w:sz="4" w:space="0" w:color="auto"/>
            </w:tcBorders>
          </w:tcPr>
          <w:p w:rsidR="0070481E" w:rsidRDefault="0070481E" w:rsidP="000975F2">
            <w:pPr>
              <w:pStyle w:val="TAC"/>
              <w:rPr>
                <w:lang w:val="fr-FR"/>
              </w:rPr>
            </w:pPr>
            <w:r>
              <w:rPr>
                <w:lang w:val="fr-FR"/>
              </w:rPr>
              <w:t>200</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70481E" w:rsidTr="000975F2">
        <w:trPr>
          <w:trHeight w:val="100"/>
          <w:jc w:val="center"/>
        </w:trPr>
        <w:tc>
          <w:tcPr>
            <w:tcW w:w="649" w:type="dxa"/>
            <w:vMerge/>
            <w:tcBorders>
              <w:left w:val="single" w:sz="4" w:space="0" w:color="auto"/>
              <w:right w:val="single" w:sz="4" w:space="0" w:color="auto"/>
            </w:tcBorders>
          </w:tcPr>
          <w:p w:rsidR="0070481E" w:rsidRPr="00DD3199" w:rsidRDefault="0070481E" w:rsidP="000975F2">
            <w:pPr>
              <w:pStyle w:val="TAC"/>
            </w:pPr>
          </w:p>
        </w:tc>
        <w:tc>
          <w:tcPr>
            <w:tcW w:w="1473" w:type="dxa"/>
            <w:vMerge/>
            <w:tcBorders>
              <w:left w:val="single" w:sz="4" w:space="0" w:color="auto"/>
              <w:right w:val="single" w:sz="4" w:space="0" w:color="auto"/>
            </w:tcBorders>
          </w:tcPr>
          <w:p w:rsidR="0070481E" w:rsidRPr="00DD3199" w:rsidRDefault="0070481E" w:rsidP="000975F2">
            <w:pPr>
              <w:pStyle w:val="TAC"/>
            </w:pPr>
          </w:p>
        </w:tc>
        <w:tc>
          <w:tcPr>
            <w:tcW w:w="1304" w:type="dxa"/>
            <w:tcBorders>
              <w:left w:val="single" w:sz="4" w:space="0" w:color="auto"/>
              <w:right w:val="single" w:sz="4" w:space="0" w:color="auto"/>
            </w:tcBorders>
          </w:tcPr>
          <w:p w:rsidR="0070481E" w:rsidRDefault="0070481E" w:rsidP="000975F2">
            <w:pPr>
              <w:pStyle w:val="TAC"/>
              <w:rPr>
                <w:lang w:val="fr-FR"/>
              </w:rPr>
            </w:pPr>
            <w:r>
              <w:rPr>
                <w:rFonts w:hint="eastAsia"/>
                <w:lang w:val="fr-FR"/>
              </w:rPr>
              <w:t>500</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70481E" w:rsidTr="000975F2">
        <w:trPr>
          <w:trHeight w:val="100"/>
          <w:jc w:val="center"/>
        </w:trPr>
        <w:tc>
          <w:tcPr>
            <w:tcW w:w="649" w:type="dxa"/>
            <w:vMerge/>
            <w:tcBorders>
              <w:left w:val="single" w:sz="4" w:space="0" w:color="auto"/>
              <w:bottom w:val="single" w:sz="4" w:space="0" w:color="auto"/>
              <w:right w:val="single" w:sz="4" w:space="0" w:color="auto"/>
            </w:tcBorders>
          </w:tcPr>
          <w:p w:rsidR="0070481E" w:rsidRPr="00DD3199" w:rsidRDefault="0070481E" w:rsidP="000975F2">
            <w:pPr>
              <w:pStyle w:val="TAC"/>
            </w:pPr>
          </w:p>
        </w:tc>
        <w:tc>
          <w:tcPr>
            <w:tcW w:w="1473" w:type="dxa"/>
            <w:vMerge/>
            <w:tcBorders>
              <w:left w:val="single" w:sz="4" w:space="0" w:color="auto"/>
              <w:bottom w:val="single" w:sz="4" w:space="0" w:color="auto"/>
              <w:right w:val="single" w:sz="4" w:space="0" w:color="auto"/>
            </w:tcBorders>
          </w:tcPr>
          <w:p w:rsidR="0070481E" w:rsidRPr="00DD3199" w:rsidRDefault="0070481E" w:rsidP="000975F2">
            <w:pPr>
              <w:pStyle w:val="TAC"/>
            </w:pPr>
          </w:p>
        </w:tc>
        <w:tc>
          <w:tcPr>
            <w:tcW w:w="1304" w:type="dxa"/>
            <w:tcBorders>
              <w:left w:val="single" w:sz="4" w:space="0" w:color="auto"/>
              <w:right w:val="single" w:sz="4" w:space="0" w:color="auto"/>
            </w:tcBorders>
          </w:tcPr>
          <w:p w:rsidR="0070481E" w:rsidRDefault="0070481E" w:rsidP="000975F2">
            <w:pPr>
              <w:pStyle w:val="TAC"/>
              <w:rPr>
                <w:lang w:val="fr-FR"/>
              </w:rPr>
            </w:pPr>
            <w:r>
              <w:rPr>
                <w:rFonts w:hint="eastAsia"/>
                <w:lang w:val="fr-FR"/>
              </w:rPr>
              <w:t>900</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70481E" w:rsidRPr="00FC2972" w:rsidRDefault="0070481E"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bl>
    <w:p w:rsidR="0070481E" w:rsidRDefault="0070481E" w:rsidP="00B573A3">
      <w:pPr>
        <w:rPr>
          <w:lang w:val="en-US"/>
        </w:rPr>
      </w:pPr>
    </w:p>
    <w:p w:rsidR="0070481E" w:rsidRDefault="0070481E" w:rsidP="00B573A3">
      <w:pPr>
        <w:rPr>
          <w:lang w:val="en-US"/>
        </w:rPr>
      </w:pPr>
      <w:r>
        <w:rPr>
          <w:lang w:val="en-US"/>
        </w:rPr>
        <w:t>It can be seen from Table 2 that interruption length is basically not changed due to subcarrier spacing used in aggressor cell. In order to simply the requirements, the interruption length is irrelevant of subcarrier spacing in aggressor cell.</w:t>
      </w:r>
    </w:p>
    <w:p w:rsidR="0070481E" w:rsidRDefault="0070481E" w:rsidP="0070481E">
      <w:pPr>
        <w:rPr>
          <w:rFonts w:cs="v4.2.0"/>
          <w:b/>
          <w:i/>
        </w:rPr>
      </w:pPr>
      <w:r w:rsidRPr="00D554B6">
        <w:rPr>
          <w:rFonts w:cs="v4.2.0" w:hint="eastAsia"/>
          <w:b/>
          <w:i/>
        </w:rPr>
        <w:t xml:space="preserve">Proposal </w:t>
      </w:r>
      <w:r>
        <w:rPr>
          <w:rFonts w:cs="v4.2.0"/>
          <w:b/>
          <w:i/>
        </w:rPr>
        <w:t>3</w:t>
      </w:r>
      <w:r w:rsidRPr="00D554B6">
        <w:rPr>
          <w:rFonts w:cs="v4.2.0" w:hint="eastAsia"/>
          <w:b/>
          <w:i/>
        </w:rPr>
        <w:t>.</w:t>
      </w:r>
      <w:r w:rsidRPr="003B485E">
        <w:rPr>
          <w:rFonts w:cs="v4.2.0" w:hint="eastAsia"/>
          <w:b/>
          <w:i/>
        </w:rPr>
        <w:t xml:space="preserve"> </w:t>
      </w:r>
      <w:r w:rsidR="00631141" w:rsidRPr="003B485E">
        <w:rPr>
          <w:b/>
          <w:i/>
          <w:lang w:val="en-US"/>
        </w:rPr>
        <w:t>In EN-DC, NE-D</w:t>
      </w:r>
      <w:r w:rsidR="00631141">
        <w:rPr>
          <w:b/>
          <w:i/>
          <w:lang w:val="en-US"/>
        </w:rPr>
        <w:t>C,</w:t>
      </w:r>
      <w:r w:rsidR="00631141" w:rsidRPr="003B485E">
        <w:rPr>
          <w:b/>
          <w:i/>
          <w:lang w:val="en-US"/>
        </w:rPr>
        <w:t xml:space="preserve"> </w:t>
      </w:r>
      <w:r w:rsidR="00631141">
        <w:rPr>
          <w:b/>
          <w:i/>
          <w:lang w:val="en-US"/>
        </w:rPr>
        <w:t>i</w:t>
      </w:r>
      <w:r w:rsidRPr="003B485E">
        <w:rPr>
          <w:b/>
          <w:i/>
          <w:lang w:val="en-US"/>
        </w:rPr>
        <w:t xml:space="preserve">nterruption length on </w:t>
      </w:r>
      <w:r>
        <w:rPr>
          <w:b/>
          <w:i/>
          <w:lang w:val="en-US"/>
        </w:rPr>
        <w:t>LTE</w:t>
      </w:r>
      <w:r w:rsidRPr="003B485E">
        <w:rPr>
          <w:b/>
          <w:i/>
          <w:lang w:val="en-US"/>
        </w:rPr>
        <w:t xml:space="preserve"> victim cells during NR SRS carrier switching </w:t>
      </w:r>
      <w:r w:rsidRPr="003B485E">
        <w:rPr>
          <w:rFonts w:cs="v4.2.0"/>
          <w:b/>
          <w:i/>
        </w:rPr>
        <w:t xml:space="preserve">is </w:t>
      </w:r>
      <w:r>
        <w:rPr>
          <w:rFonts w:cs="v4.2.0"/>
          <w:b/>
          <w:i/>
        </w:rPr>
        <w:t>2 subframes, 2 subframes and 3 subframes for 200us, 500us and 900us NR SRS carrier switching time respectively</w:t>
      </w:r>
      <w:r w:rsidRPr="003B485E">
        <w:rPr>
          <w:rFonts w:cs="v4.2.0"/>
          <w:b/>
          <w:i/>
        </w:rPr>
        <w:t>.</w:t>
      </w:r>
    </w:p>
    <w:p w:rsidR="0070481E" w:rsidRPr="0070481E" w:rsidRDefault="0070481E" w:rsidP="00B573A3"/>
    <w:p w:rsidR="0070481E" w:rsidRDefault="0070481E" w:rsidP="00B573A3">
      <w:pPr>
        <w:rPr>
          <w:lang w:val="en-US"/>
        </w:rPr>
      </w:pPr>
      <w:r>
        <w:rPr>
          <w:rFonts w:hint="eastAsia"/>
          <w:lang w:val="en-US"/>
        </w:rPr>
        <w:t xml:space="preserve">Regarding the LTE SRS carrier switching, the </w:t>
      </w:r>
      <w:r>
        <w:rPr>
          <w:lang w:val="en-US"/>
        </w:rPr>
        <w:t xml:space="preserve">interruption </w:t>
      </w:r>
      <w:r>
        <w:rPr>
          <w:rFonts w:hint="eastAsia"/>
          <w:lang w:val="en-US"/>
        </w:rPr>
        <w:t xml:space="preserve">requirements were </w:t>
      </w:r>
      <w:r>
        <w:rPr>
          <w:lang w:val="en-US"/>
        </w:rPr>
        <w:t>specified</w:t>
      </w:r>
      <w:r>
        <w:rPr>
          <w:rFonts w:hint="eastAsia"/>
          <w:lang w:val="en-US"/>
        </w:rPr>
        <w:t xml:space="preserve"> for 500us SRS carrier switching time in LTE. </w:t>
      </w:r>
      <w:r>
        <w:rPr>
          <w:lang w:val="en-US"/>
        </w:rPr>
        <w:t>Since 900us switching time is not applicable for LTE SRS carrier switching and the interruption length</w:t>
      </w:r>
      <w:r w:rsidR="00631141">
        <w:rPr>
          <w:lang w:val="en-US"/>
        </w:rPr>
        <w:t xml:space="preserve"> for 200us switching time is almost the same as for 500us switching time, the interruption requirements are specified for 500us SRS carrier switching time only.</w:t>
      </w:r>
    </w:p>
    <w:p w:rsidR="00FC2972" w:rsidRDefault="00FC2972" w:rsidP="00FC2972">
      <w:pPr>
        <w:rPr>
          <w:rFonts w:cs="v4.2.0"/>
          <w:b/>
          <w:i/>
        </w:rPr>
      </w:pPr>
      <w:r w:rsidRPr="00D554B6">
        <w:rPr>
          <w:rFonts w:cs="v4.2.0" w:hint="eastAsia"/>
          <w:b/>
          <w:i/>
        </w:rPr>
        <w:t xml:space="preserve">Proposal </w:t>
      </w:r>
      <w:r w:rsidR="00631141">
        <w:rPr>
          <w:rFonts w:cs="v4.2.0"/>
          <w:b/>
          <w:i/>
        </w:rPr>
        <w:t>4</w:t>
      </w:r>
      <w:r w:rsidRPr="00D554B6">
        <w:rPr>
          <w:rFonts w:cs="v4.2.0" w:hint="eastAsia"/>
          <w:b/>
          <w:i/>
        </w:rPr>
        <w:t xml:space="preserve">. </w:t>
      </w:r>
      <w:r>
        <w:rPr>
          <w:rFonts w:cs="v4.2.0"/>
          <w:b/>
          <w:i/>
        </w:rPr>
        <w:t>In EN-DC and NE</w:t>
      </w:r>
      <w:r w:rsidR="00631141">
        <w:rPr>
          <w:rFonts w:cs="v4.2.0"/>
          <w:b/>
          <w:i/>
        </w:rPr>
        <w:t>-DC, the interruption requirements are specified for 500us LTE SRS carrier switching time only</w:t>
      </w:r>
      <w:r>
        <w:rPr>
          <w:rFonts w:cs="v4.2.0"/>
          <w:b/>
          <w:i/>
        </w:rPr>
        <w:t>.</w:t>
      </w:r>
    </w:p>
    <w:p w:rsidR="00631141" w:rsidRPr="00631141" w:rsidRDefault="00631141" w:rsidP="00FC2972">
      <w:pPr>
        <w:rPr>
          <w:rFonts w:cs="v4.2.0"/>
        </w:rPr>
      </w:pPr>
    </w:p>
    <w:p w:rsidR="00631141" w:rsidRPr="00631141" w:rsidRDefault="00631141" w:rsidP="00631141">
      <w:pPr>
        <w:numPr>
          <w:ilvl w:val="0"/>
          <w:numId w:val="17"/>
        </w:numPr>
        <w:rPr>
          <w:b/>
        </w:rPr>
      </w:pPr>
      <w:r>
        <w:rPr>
          <w:b/>
        </w:rPr>
        <w:t xml:space="preserve">Case 3: </w:t>
      </w:r>
      <w:r w:rsidRPr="00631141">
        <w:rPr>
          <w:b/>
        </w:rPr>
        <w:t xml:space="preserve">Interruptions on NR </w:t>
      </w:r>
      <w:r w:rsidR="007E1ED1">
        <w:rPr>
          <w:b/>
        </w:rPr>
        <w:t>victim</w:t>
      </w:r>
      <w:r w:rsidRPr="00631141">
        <w:rPr>
          <w:b/>
        </w:rPr>
        <w:t xml:space="preserve"> cells during LTE SRS carrier switching in EN-DC and NE-DC operation</w:t>
      </w:r>
    </w:p>
    <w:p w:rsidR="00631141" w:rsidRDefault="00631141" w:rsidP="00B573A3">
      <w:r>
        <w:rPr>
          <w:rFonts w:hint="eastAsia"/>
        </w:rPr>
        <w:t>F</w:t>
      </w:r>
      <w:r>
        <w:t>or LTE SRS carrier switching, the subcarrier spacing is 15 kHz. The interruption length on NR victim cells can be selected according to Table 1 based on 500us SRS carrier switching time and 15 kHz aggressor cell subcarrier spacing.</w:t>
      </w:r>
    </w:p>
    <w:p w:rsidR="00631141" w:rsidRDefault="00631141" w:rsidP="00631141">
      <w:pPr>
        <w:rPr>
          <w:rFonts w:cs="v4.2.0"/>
          <w:b/>
          <w:i/>
        </w:rPr>
      </w:pPr>
      <w:r w:rsidRPr="00D554B6">
        <w:rPr>
          <w:rFonts w:cs="v4.2.0" w:hint="eastAsia"/>
          <w:b/>
          <w:i/>
        </w:rPr>
        <w:t xml:space="preserve">Proposal </w:t>
      </w:r>
      <w:r w:rsidR="007E1ED1">
        <w:rPr>
          <w:rFonts w:cs="v4.2.0"/>
          <w:b/>
          <w:i/>
        </w:rPr>
        <w:t>5</w:t>
      </w:r>
      <w:r w:rsidRPr="00D554B6">
        <w:rPr>
          <w:rFonts w:cs="v4.2.0" w:hint="eastAsia"/>
          <w:b/>
          <w:i/>
        </w:rPr>
        <w:t xml:space="preserve">. </w:t>
      </w:r>
      <w:r>
        <w:rPr>
          <w:rFonts w:cs="v4.2.0"/>
          <w:b/>
          <w:i/>
        </w:rPr>
        <w:t xml:space="preserve">In EN-DC and NE-DC, </w:t>
      </w:r>
      <w:r>
        <w:rPr>
          <w:b/>
          <w:i/>
          <w:lang w:val="en-US"/>
        </w:rPr>
        <w:t>i</w:t>
      </w:r>
      <w:r w:rsidRPr="003B485E">
        <w:rPr>
          <w:b/>
          <w:i/>
          <w:lang w:val="en-US"/>
        </w:rPr>
        <w:t xml:space="preserve">nterruption length on </w:t>
      </w:r>
      <w:r>
        <w:rPr>
          <w:b/>
          <w:i/>
          <w:lang w:val="en-US"/>
        </w:rPr>
        <w:t>NR</w:t>
      </w:r>
      <w:r w:rsidRPr="003B485E">
        <w:rPr>
          <w:b/>
          <w:i/>
          <w:lang w:val="en-US"/>
        </w:rPr>
        <w:t xml:space="preserve"> victim cells during NR SRS carrier switching </w:t>
      </w:r>
      <w:r w:rsidR="007E1ED1">
        <w:rPr>
          <w:b/>
          <w:i/>
          <w:lang w:val="en-US"/>
        </w:rPr>
        <w:t>are as in Table 3.</w:t>
      </w:r>
    </w:p>
    <w:p w:rsidR="007E1ED1" w:rsidRPr="003B485E" w:rsidRDefault="007E1ED1" w:rsidP="007E1ED1">
      <w:pPr>
        <w:jc w:val="center"/>
        <w:rPr>
          <w:lang w:val="en-US"/>
        </w:rPr>
      </w:pPr>
      <w:r>
        <w:rPr>
          <w:lang w:val="en-US"/>
        </w:rPr>
        <w:t>Table 2. Interruption length on NR victim cell during LTE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31141" w:rsidRPr="00DD3199" w:rsidTr="000975F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31141" w:rsidRPr="00DD3199" w:rsidRDefault="00631141" w:rsidP="000975F2">
            <w:pPr>
              <w:pStyle w:val="TAH"/>
            </w:pPr>
            <w:r w:rsidRPr="00DD3199">
              <w:rPr>
                <w:noProof/>
                <w:lang w:val="en-US"/>
              </w:rPr>
              <w:drawing>
                <wp:inline distT="0" distB="0" distL="0" distR="0" wp14:anchorId="6FEC9490" wp14:editId="620C3DC3">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31141" w:rsidRPr="00DD3199" w:rsidRDefault="00631141" w:rsidP="000975F2">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631141" w:rsidRPr="00DD3199" w:rsidRDefault="00631141" w:rsidP="007E1ED1">
            <w:pPr>
              <w:pStyle w:val="TAH"/>
            </w:pPr>
            <w:r>
              <w:t>Interruption length X (slots)</w:t>
            </w:r>
          </w:p>
        </w:tc>
      </w:tr>
      <w:tr w:rsidR="00631141" w:rsidRPr="00DD3199" w:rsidTr="000975F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1141" w:rsidRPr="00DD3199" w:rsidRDefault="00631141" w:rsidP="00097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1141" w:rsidRPr="00DD3199" w:rsidRDefault="00631141" w:rsidP="00097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1141" w:rsidRPr="00DD3199" w:rsidRDefault="00631141" w:rsidP="000975F2">
            <w:pPr>
              <w:spacing w:after="0"/>
              <w:rPr>
                <w:rFonts w:ascii="Arial" w:hAnsi="Arial"/>
                <w:b/>
                <w:sz w:val="18"/>
              </w:rPr>
            </w:pPr>
          </w:p>
        </w:tc>
      </w:tr>
      <w:tr w:rsidR="00631141" w:rsidRPr="00DD3199" w:rsidTr="000975F2">
        <w:trPr>
          <w:jc w:val="center"/>
        </w:trPr>
        <w:tc>
          <w:tcPr>
            <w:tcW w:w="852" w:type="dxa"/>
            <w:tcBorders>
              <w:top w:val="single" w:sz="4" w:space="0" w:color="auto"/>
              <w:left w:val="single" w:sz="4" w:space="0" w:color="auto"/>
              <w:bottom w:val="single" w:sz="4" w:space="0" w:color="auto"/>
              <w:right w:val="single" w:sz="4" w:space="0" w:color="auto"/>
            </w:tcBorders>
            <w:hideMark/>
          </w:tcPr>
          <w:p w:rsidR="00631141" w:rsidRPr="00DD3199" w:rsidRDefault="00631141" w:rsidP="000975F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631141" w:rsidRPr="00DD3199" w:rsidRDefault="00631141" w:rsidP="000975F2">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631141" w:rsidRPr="00DD3199" w:rsidRDefault="007E1ED1" w:rsidP="000975F2">
            <w:pPr>
              <w:pStyle w:val="TAC"/>
            </w:pPr>
            <w:r>
              <w:t>2</w:t>
            </w:r>
          </w:p>
        </w:tc>
      </w:tr>
      <w:tr w:rsidR="00631141" w:rsidRPr="00DD3199" w:rsidTr="000975F2">
        <w:trPr>
          <w:jc w:val="center"/>
        </w:trPr>
        <w:tc>
          <w:tcPr>
            <w:tcW w:w="852" w:type="dxa"/>
            <w:tcBorders>
              <w:top w:val="single" w:sz="4" w:space="0" w:color="auto"/>
              <w:left w:val="single" w:sz="4" w:space="0" w:color="auto"/>
              <w:bottom w:val="single" w:sz="4" w:space="0" w:color="auto"/>
              <w:right w:val="single" w:sz="4" w:space="0" w:color="auto"/>
            </w:tcBorders>
            <w:hideMark/>
          </w:tcPr>
          <w:p w:rsidR="00631141" w:rsidRPr="00DD3199" w:rsidRDefault="00631141" w:rsidP="000975F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631141" w:rsidRPr="00DD3199" w:rsidRDefault="00631141" w:rsidP="000975F2">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631141" w:rsidRPr="00DD3199" w:rsidRDefault="007E1ED1" w:rsidP="000975F2">
            <w:pPr>
              <w:pStyle w:val="TAC"/>
            </w:pPr>
            <w:r>
              <w:t>3</w:t>
            </w:r>
          </w:p>
        </w:tc>
      </w:tr>
      <w:tr w:rsidR="00631141" w:rsidRPr="00DD3199" w:rsidTr="000975F2">
        <w:trPr>
          <w:jc w:val="center"/>
        </w:trPr>
        <w:tc>
          <w:tcPr>
            <w:tcW w:w="852" w:type="dxa"/>
            <w:tcBorders>
              <w:top w:val="single" w:sz="4" w:space="0" w:color="auto"/>
              <w:left w:val="single" w:sz="4" w:space="0" w:color="auto"/>
              <w:bottom w:val="single" w:sz="4" w:space="0" w:color="auto"/>
              <w:right w:val="single" w:sz="4" w:space="0" w:color="auto"/>
            </w:tcBorders>
            <w:hideMark/>
          </w:tcPr>
          <w:p w:rsidR="00631141" w:rsidRPr="00DD3199" w:rsidRDefault="00631141" w:rsidP="000975F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631141" w:rsidRPr="00DD3199" w:rsidRDefault="00631141" w:rsidP="000975F2">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631141" w:rsidRPr="00DD3199" w:rsidRDefault="007E1ED1" w:rsidP="000975F2">
            <w:pPr>
              <w:pStyle w:val="TAC"/>
            </w:pPr>
            <w:r>
              <w:t>5</w:t>
            </w:r>
          </w:p>
        </w:tc>
      </w:tr>
      <w:tr w:rsidR="00631141" w:rsidRPr="00DD3199" w:rsidTr="000975F2">
        <w:trPr>
          <w:jc w:val="center"/>
        </w:trPr>
        <w:tc>
          <w:tcPr>
            <w:tcW w:w="852" w:type="dxa"/>
            <w:tcBorders>
              <w:top w:val="single" w:sz="4" w:space="0" w:color="auto"/>
              <w:left w:val="single" w:sz="4" w:space="0" w:color="auto"/>
              <w:bottom w:val="single" w:sz="4" w:space="0" w:color="auto"/>
              <w:right w:val="single" w:sz="4" w:space="0" w:color="auto"/>
            </w:tcBorders>
            <w:hideMark/>
          </w:tcPr>
          <w:p w:rsidR="00631141" w:rsidRPr="00DD3199" w:rsidRDefault="00631141" w:rsidP="000975F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631141" w:rsidRPr="00DD3199" w:rsidRDefault="00631141" w:rsidP="000975F2">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631141" w:rsidRPr="00DD3199" w:rsidRDefault="007E1ED1" w:rsidP="000975F2">
            <w:pPr>
              <w:pStyle w:val="TAC"/>
            </w:pPr>
            <w:r>
              <w:t>9</w:t>
            </w:r>
          </w:p>
        </w:tc>
      </w:tr>
    </w:tbl>
    <w:p w:rsidR="00FC2972" w:rsidRPr="00631141" w:rsidRDefault="00FC2972" w:rsidP="00B573A3"/>
    <w:p w:rsidR="007E1ED1" w:rsidRPr="00631141" w:rsidRDefault="007E1ED1" w:rsidP="007E1ED1">
      <w:pPr>
        <w:numPr>
          <w:ilvl w:val="0"/>
          <w:numId w:val="17"/>
        </w:numPr>
        <w:rPr>
          <w:b/>
        </w:rPr>
      </w:pPr>
      <w:r>
        <w:rPr>
          <w:b/>
        </w:rPr>
        <w:t xml:space="preserve">Case 4: </w:t>
      </w:r>
      <w:r w:rsidRPr="00631141">
        <w:rPr>
          <w:b/>
        </w:rPr>
        <w:t xml:space="preserve">Interruptions on </w:t>
      </w:r>
      <w:r>
        <w:rPr>
          <w:b/>
        </w:rPr>
        <w:t>LTE victim</w:t>
      </w:r>
      <w:r w:rsidRPr="00631141">
        <w:rPr>
          <w:b/>
        </w:rPr>
        <w:t xml:space="preserve"> cells during LTE SRS carrier switching in EN-DC and NE-DC operation</w:t>
      </w:r>
    </w:p>
    <w:p w:rsidR="007E1ED1" w:rsidRDefault="007E1ED1" w:rsidP="007E1ED1">
      <w:r>
        <w:t>The subcarrier spacing of victim cell is 15 kHz. So according to Table 3, the interruption length is 2 subframes.</w:t>
      </w:r>
    </w:p>
    <w:p w:rsidR="007E1ED1" w:rsidRDefault="007E1ED1" w:rsidP="007E1ED1">
      <w:pPr>
        <w:rPr>
          <w:rFonts w:cs="v4.2.0"/>
          <w:b/>
          <w:i/>
        </w:rPr>
      </w:pPr>
      <w:r w:rsidRPr="00D554B6">
        <w:rPr>
          <w:rFonts w:cs="v4.2.0" w:hint="eastAsia"/>
          <w:b/>
          <w:i/>
        </w:rPr>
        <w:t xml:space="preserve">Proposal </w:t>
      </w:r>
      <w:r>
        <w:rPr>
          <w:rFonts w:cs="v4.2.0"/>
          <w:b/>
          <w:i/>
        </w:rPr>
        <w:t>6</w:t>
      </w:r>
      <w:r w:rsidRPr="00D554B6">
        <w:rPr>
          <w:rFonts w:cs="v4.2.0" w:hint="eastAsia"/>
          <w:b/>
          <w:i/>
        </w:rPr>
        <w:t>.</w:t>
      </w:r>
      <w:r w:rsidRPr="003B485E">
        <w:rPr>
          <w:rFonts w:cs="v4.2.0" w:hint="eastAsia"/>
          <w:b/>
          <w:i/>
        </w:rPr>
        <w:t xml:space="preserve"> </w:t>
      </w:r>
      <w:r w:rsidRPr="003B485E">
        <w:rPr>
          <w:b/>
          <w:i/>
          <w:lang w:val="en-US"/>
        </w:rPr>
        <w:t>In EN-DC, NE-D</w:t>
      </w:r>
      <w:r>
        <w:rPr>
          <w:b/>
          <w:i/>
          <w:lang w:val="en-US"/>
        </w:rPr>
        <w:t>C,</w:t>
      </w:r>
      <w:r w:rsidRPr="003B485E">
        <w:rPr>
          <w:b/>
          <w:i/>
          <w:lang w:val="en-US"/>
        </w:rPr>
        <w:t xml:space="preserve"> </w:t>
      </w:r>
      <w:r>
        <w:rPr>
          <w:b/>
          <w:i/>
          <w:lang w:val="en-US"/>
        </w:rPr>
        <w:t>i</w:t>
      </w:r>
      <w:r w:rsidRPr="003B485E">
        <w:rPr>
          <w:b/>
          <w:i/>
          <w:lang w:val="en-US"/>
        </w:rPr>
        <w:t xml:space="preserve">nterruption length on </w:t>
      </w:r>
      <w:r>
        <w:rPr>
          <w:b/>
          <w:i/>
          <w:lang w:val="en-US"/>
        </w:rPr>
        <w:t>LTE</w:t>
      </w:r>
      <w:r w:rsidRPr="003B485E">
        <w:rPr>
          <w:b/>
          <w:i/>
          <w:lang w:val="en-US"/>
        </w:rPr>
        <w:t xml:space="preserve"> victim cells during </w:t>
      </w:r>
      <w:r>
        <w:rPr>
          <w:b/>
          <w:i/>
          <w:lang w:val="en-US"/>
        </w:rPr>
        <w:t>LTE</w:t>
      </w:r>
      <w:r w:rsidRPr="003B485E">
        <w:rPr>
          <w:b/>
          <w:i/>
          <w:lang w:val="en-US"/>
        </w:rPr>
        <w:t xml:space="preserve"> SRS carrier switching </w:t>
      </w:r>
      <w:r w:rsidRPr="003B485E">
        <w:rPr>
          <w:rFonts w:cs="v4.2.0"/>
          <w:b/>
          <w:i/>
        </w:rPr>
        <w:t xml:space="preserve">is </w:t>
      </w:r>
      <w:r>
        <w:rPr>
          <w:rFonts w:cs="v4.2.0"/>
          <w:b/>
          <w:i/>
        </w:rPr>
        <w:t>2 subframes</w:t>
      </w:r>
      <w:r w:rsidRPr="003B485E">
        <w:rPr>
          <w:rFonts w:cs="v4.2.0"/>
          <w:b/>
          <w:i/>
        </w:rPr>
        <w:t>.</w:t>
      </w:r>
    </w:p>
    <w:p w:rsidR="00E2431A" w:rsidRDefault="00E2431A" w:rsidP="00B9640E">
      <w:pPr>
        <w:jc w:val="center"/>
        <w:rPr>
          <w:b/>
          <w:i/>
          <w:lang w:val="en-US"/>
        </w:rPr>
      </w:pPr>
    </w:p>
    <w:p w:rsidR="00B9640E" w:rsidRPr="004764F3" w:rsidRDefault="00B9640E" w:rsidP="00B9640E">
      <w:pPr>
        <w:rPr>
          <w:b/>
          <w:i/>
          <w:u w:val="single"/>
          <w:lang w:val="en-US"/>
        </w:rPr>
      </w:pPr>
      <w:r>
        <w:rPr>
          <w:b/>
          <w:i/>
          <w:u w:val="single"/>
          <w:lang w:val="en-US"/>
        </w:rPr>
        <w:t>I</w:t>
      </w:r>
      <w:r w:rsidRPr="004764F3">
        <w:rPr>
          <w:rFonts w:hint="eastAsia"/>
          <w:b/>
          <w:i/>
          <w:u w:val="single"/>
          <w:lang w:val="en-US"/>
        </w:rPr>
        <w:t>mpact</w:t>
      </w:r>
      <w:r>
        <w:rPr>
          <w:b/>
          <w:i/>
          <w:u w:val="single"/>
          <w:lang w:val="en-US"/>
        </w:rPr>
        <w:t xml:space="preserve"> on delay requirements</w:t>
      </w:r>
    </w:p>
    <w:p w:rsidR="00E2431A" w:rsidRDefault="008157A4" w:rsidP="00B9640E">
      <w:pPr>
        <w:spacing w:afterLines="50" w:after="120"/>
        <w:rPr>
          <w:color w:val="000000"/>
          <w:szCs w:val="22"/>
          <w:lang w:val="en-US"/>
        </w:rPr>
      </w:pPr>
      <w:bookmarkStart w:id="1" w:name="_Hlk505675046"/>
      <w:r>
        <w:rPr>
          <w:rFonts w:hint="eastAsia"/>
          <w:color w:val="000000"/>
          <w:szCs w:val="22"/>
          <w:lang w:val="en-US"/>
        </w:rPr>
        <w:t xml:space="preserve">There were </w:t>
      </w:r>
      <w:r w:rsidR="00481164">
        <w:rPr>
          <w:color w:val="000000"/>
          <w:szCs w:val="22"/>
          <w:lang w:val="en-US"/>
        </w:rPr>
        <w:t>no</w:t>
      </w:r>
      <w:r>
        <w:rPr>
          <w:rFonts w:hint="eastAsia"/>
          <w:color w:val="000000"/>
          <w:szCs w:val="22"/>
          <w:lang w:val="en-US"/>
        </w:rPr>
        <w:t xml:space="preserve"> </w:t>
      </w:r>
      <w:r>
        <w:rPr>
          <w:color w:val="000000"/>
          <w:szCs w:val="22"/>
          <w:lang w:val="en-US"/>
        </w:rPr>
        <w:t>discussions on impact on delay requiremen</w:t>
      </w:r>
      <w:r w:rsidR="00481164">
        <w:rPr>
          <w:color w:val="000000"/>
          <w:szCs w:val="22"/>
          <w:lang w:val="en-US"/>
        </w:rPr>
        <w:t>ts due to SRS carrier switching because of lack of time</w:t>
      </w:r>
      <w:r>
        <w:rPr>
          <w:color w:val="000000"/>
          <w:szCs w:val="22"/>
          <w:lang w:val="en-US"/>
        </w:rPr>
        <w:t>.</w:t>
      </w:r>
    </w:p>
    <w:tbl>
      <w:tblPr>
        <w:tblStyle w:val="af9"/>
        <w:tblW w:w="0" w:type="auto"/>
        <w:tblLook w:val="04A0" w:firstRow="1" w:lastRow="0" w:firstColumn="1" w:lastColumn="0" w:noHBand="0" w:noVBand="1"/>
      </w:tblPr>
      <w:tblGrid>
        <w:gridCol w:w="9629"/>
      </w:tblGrid>
      <w:tr w:rsidR="00E2431A" w:rsidRPr="00E2431A" w:rsidTr="00E2431A">
        <w:tc>
          <w:tcPr>
            <w:tcW w:w="9629" w:type="dxa"/>
          </w:tcPr>
          <w:p w:rsidR="00F578F2" w:rsidRPr="00481164" w:rsidRDefault="008709A1" w:rsidP="00481164">
            <w:pPr>
              <w:numPr>
                <w:ilvl w:val="0"/>
                <w:numId w:val="19"/>
              </w:numPr>
              <w:spacing w:afterLines="50" w:after="120"/>
              <w:ind w:left="381"/>
              <w:rPr>
                <w:i/>
                <w:color w:val="000000"/>
                <w:szCs w:val="22"/>
                <w:lang w:val="en-US"/>
              </w:rPr>
            </w:pPr>
            <w:r w:rsidRPr="00481164">
              <w:rPr>
                <w:i/>
                <w:color w:val="000000"/>
                <w:szCs w:val="22"/>
                <w:lang w:val="en-US"/>
              </w:rPr>
              <w:t>Impact to NR RRM measurement requirements based on SSB/PBCH due to NR SRS carrier switching</w:t>
            </w:r>
          </w:p>
          <w:p w:rsidR="00F578F2" w:rsidRPr="00481164" w:rsidRDefault="008709A1" w:rsidP="00481164">
            <w:pPr>
              <w:numPr>
                <w:ilvl w:val="1"/>
                <w:numId w:val="19"/>
              </w:numPr>
              <w:spacing w:afterLines="50" w:after="120"/>
              <w:ind w:left="1101"/>
              <w:rPr>
                <w:i/>
                <w:color w:val="000000"/>
                <w:szCs w:val="22"/>
                <w:lang w:val="en-US"/>
              </w:rPr>
            </w:pPr>
            <w:r w:rsidRPr="00481164">
              <w:rPr>
                <w:i/>
                <w:color w:val="000000"/>
                <w:szCs w:val="22"/>
                <w:lang w:val="en-US"/>
              </w:rPr>
              <w:t>Option 1: No impact to NR measurement requirements relevant to measurements based on SSB/PBCH/CSI-RS due to NR SRS carrier switching</w:t>
            </w:r>
          </w:p>
          <w:p w:rsidR="00F578F2" w:rsidRPr="00481164" w:rsidRDefault="008709A1" w:rsidP="00481164">
            <w:pPr>
              <w:numPr>
                <w:ilvl w:val="1"/>
                <w:numId w:val="19"/>
              </w:numPr>
              <w:spacing w:afterLines="50" w:after="120"/>
              <w:ind w:left="1101"/>
              <w:rPr>
                <w:i/>
                <w:color w:val="000000"/>
                <w:szCs w:val="22"/>
                <w:lang w:val="en-US"/>
              </w:rPr>
            </w:pPr>
            <w:r w:rsidRPr="00481164">
              <w:rPr>
                <w:i/>
                <w:color w:val="000000"/>
                <w:szCs w:val="22"/>
                <w:lang w:val="en-US"/>
              </w:rPr>
              <w:t>Other options are not precluded</w:t>
            </w:r>
          </w:p>
          <w:p w:rsidR="00F578F2" w:rsidRPr="00481164" w:rsidRDefault="008709A1" w:rsidP="00481164">
            <w:pPr>
              <w:numPr>
                <w:ilvl w:val="0"/>
                <w:numId w:val="19"/>
              </w:numPr>
              <w:spacing w:afterLines="50" w:after="120"/>
              <w:ind w:left="381"/>
              <w:rPr>
                <w:i/>
                <w:color w:val="000000"/>
                <w:szCs w:val="22"/>
                <w:lang w:val="en-US"/>
              </w:rPr>
            </w:pPr>
            <w:r w:rsidRPr="00481164">
              <w:rPr>
                <w:i/>
                <w:color w:val="000000"/>
                <w:szCs w:val="22"/>
                <w:lang w:val="en-US"/>
              </w:rPr>
              <w:lastRenderedPageBreak/>
              <w:t>Impact on NR measurement requirements based on SSB/PBCH/CSI due to LTE SRS carrier switching</w:t>
            </w:r>
          </w:p>
          <w:p w:rsidR="00F578F2" w:rsidRPr="00481164" w:rsidRDefault="008709A1" w:rsidP="00481164">
            <w:pPr>
              <w:numPr>
                <w:ilvl w:val="1"/>
                <w:numId w:val="19"/>
              </w:numPr>
              <w:spacing w:afterLines="50" w:after="120"/>
              <w:ind w:left="1101"/>
              <w:rPr>
                <w:i/>
                <w:color w:val="000000"/>
                <w:szCs w:val="22"/>
                <w:lang w:val="en-US"/>
              </w:rPr>
            </w:pPr>
            <w:r w:rsidRPr="00481164">
              <w:rPr>
                <w:i/>
                <w:color w:val="000000"/>
                <w:szCs w:val="22"/>
                <w:lang w:val="en-US"/>
              </w:rPr>
              <w:t>FFS.</w:t>
            </w:r>
          </w:p>
          <w:p w:rsidR="00F578F2" w:rsidRPr="00481164" w:rsidRDefault="008709A1" w:rsidP="00481164">
            <w:pPr>
              <w:numPr>
                <w:ilvl w:val="0"/>
                <w:numId w:val="19"/>
              </w:numPr>
              <w:spacing w:afterLines="50" w:after="120"/>
              <w:ind w:left="381"/>
              <w:rPr>
                <w:i/>
                <w:color w:val="000000"/>
                <w:szCs w:val="22"/>
                <w:lang w:val="en-US"/>
              </w:rPr>
            </w:pPr>
            <w:r w:rsidRPr="00481164">
              <w:rPr>
                <w:i/>
                <w:color w:val="000000"/>
                <w:szCs w:val="22"/>
                <w:lang w:val="en-US"/>
              </w:rPr>
              <w:t xml:space="preserve"> Impact to E-UTRA measurement requirements due to NR SRS carrier switching</w:t>
            </w:r>
          </w:p>
          <w:p w:rsidR="00481164" w:rsidRPr="00E2431A" w:rsidRDefault="008709A1" w:rsidP="00481164">
            <w:pPr>
              <w:numPr>
                <w:ilvl w:val="1"/>
                <w:numId w:val="19"/>
              </w:numPr>
              <w:spacing w:afterLines="50" w:after="120"/>
              <w:ind w:left="1101"/>
              <w:rPr>
                <w:i/>
                <w:color w:val="000000"/>
                <w:szCs w:val="22"/>
                <w:lang w:val="en-US"/>
              </w:rPr>
            </w:pPr>
            <w:r w:rsidRPr="00481164">
              <w:rPr>
                <w:i/>
                <w:color w:val="000000"/>
                <w:szCs w:val="22"/>
                <w:lang w:val="en-US"/>
              </w:rPr>
              <w:t>FFS.</w:t>
            </w:r>
          </w:p>
        </w:tc>
      </w:tr>
    </w:tbl>
    <w:p w:rsidR="00E2431A" w:rsidRDefault="00E2431A" w:rsidP="00B9640E">
      <w:pPr>
        <w:spacing w:afterLines="50" w:after="120"/>
        <w:rPr>
          <w:color w:val="000000"/>
          <w:szCs w:val="22"/>
          <w:lang w:val="en-US"/>
        </w:rPr>
      </w:pPr>
    </w:p>
    <w:p w:rsidR="00B9640E" w:rsidRDefault="00B9640E" w:rsidP="00B9640E">
      <w:pPr>
        <w:spacing w:afterLines="50" w:after="120"/>
        <w:rPr>
          <w:color w:val="000000"/>
          <w:szCs w:val="22"/>
          <w:lang w:val="en-US"/>
        </w:rPr>
      </w:pPr>
      <w:r>
        <w:rPr>
          <w:color w:val="000000"/>
          <w:szCs w:val="22"/>
          <w:lang w:val="en-US"/>
        </w:rPr>
        <w:t>In 38.214, the UE sounding procedure between component carriers are as follows.</w:t>
      </w:r>
    </w:p>
    <w:p w:rsidR="00B9640E" w:rsidRDefault="00B9640E" w:rsidP="00B9640E">
      <w:pPr>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
    </w:p>
    <w:tbl>
      <w:tblPr>
        <w:tblStyle w:val="af9"/>
        <w:tblW w:w="0" w:type="auto"/>
        <w:tblLook w:val="04A0" w:firstRow="1" w:lastRow="0" w:firstColumn="1" w:lastColumn="0" w:noHBand="0" w:noVBand="1"/>
      </w:tblPr>
      <w:tblGrid>
        <w:gridCol w:w="9629"/>
      </w:tblGrid>
      <w:tr w:rsidR="00B9640E" w:rsidTr="00FC2972">
        <w:tc>
          <w:tcPr>
            <w:tcW w:w="9629" w:type="dxa"/>
          </w:tcPr>
          <w:p w:rsidR="00B9640E" w:rsidRDefault="00B9640E" w:rsidP="00FC2972">
            <w:pPr>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p>
        </w:tc>
      </w:tr>
    </w:tbl>
    <w:p w:rsidR="00B9640E" w:rsidRPr="00AF236B" w:rsidRDefault="00B9640E" w:rsidP="00B9640E"/>
    <w:p w:rsidR="00B9640E" w:rsidRDefault="00B9640E" w:rsidP="00B9640E">
      <w:r>
        <w:rPr>
          <w:rFonts w:hint="eastAsia"/>
        </w:rPr>
        <w:t>According to the procedure</w:t>
      </w:r>
      <w:r>
        <w:t>, colliding of NR SRS transmission and SSB/PBCH blocks should not happen. So the requirements relevant to measurements on SSB/PBCH should not be impacted by NR SRS carrier switching.</w:t>
      </w:r>
    </w:p>
    <w:p w:rsidR="00B9640E" w:rsidRPr="00233982" w:rsidRDefault="00B9640E" w:rsidP="00B9640E">
      <w:pPr>
        <w:rPr>
          <w:rFonts w:cs="v4.2.0"/>
          <w:b/>
          <w:i/>
        </w:rPr>
      </w:pPr>
      <w:r w:rsidRPr="00233982">
        <w:rPr>
          <w:rFonts w:cs="v4.2.0" w:hint="eastAsia"/>
          <w:b/>
          <w:i/>
        </w:rPr>
        <w:t xml:space="preserve">Proposal </w:t>
      </w:r>
      <w:r w:rsidR="00B211C6">
        <w:rPr>
          <w:rFonts w:cs="v4.2.0"/>
          <w:b/>
          <w:i/>
        </w:rPr>
        <w:t>7</w:t>
      </w:r>
      <w:r w:rsidRPr="00233982">
        <w:rPr>
          <w:rFonts w:cs="v4.2.0" w:hint="eastAsia"/>
          <w:b/>
          <w:i/>
        </w:rPr>
        <w:t>.</w:t>
      </w:r>
      <w:r w:rsidRPr="00B211C6">
        <w:rPr>
          <w:rFonts w:cs="v4.2.0" w:hint="eastAsia"/>
          <w:b/>
          <w:i/>
        </w:rPr>
        <w:t xml:space="preserve"> </w:t>
      </w:r>
      <w:r w:rsidR="00B211C6" w:rsidRPr="00B211C6">
        <w:rPr>
          <w:b/>
          <w:i/>
          <w:color w:val="000000"/>
          <w:szCs w:val="22"/>
          <w:lang w:val="en-US"/>
        </w:rPr>
        <w:t>In EN-DC, NE-DC, NR-DC and NR SA operation, requirements relevant to measurements on SSB/PBCH</w:t>
      </w:r>
      <w:r w:rsidR="00B211C6" w:rsidRPr="00B211C6">
        <w:rPr>
          <w:b/>
          <w:i/>
          <w:color w:val="000000"/>
          <w:szCs w:val="22"/>
        </w:rPr>
        <w:t>/CSI-RS</w:t>
      </w:r>
      <w:r w:rsidR="00B211C6" w:rsidRPr="00B211C6">
        <w:rPr>
          <w:b/>
          <w:i/>
          <w:color w:val="000000"/>
          <w:szCs w:val="22"/>
          <w:lang w:val="en-US"/>
        </w:rPr>
        <w:t xml:space="preserve"> are NOT impacted due to NR SRS carrier switching</w:t>
      </w:r>
      <w:r w:rsidRPr="00233982">
        <w:rPr>
          <w:rFonts w:cs="v4.2.0"/>
          <w:b/>
          <w:i/>
        </w:rPr>
        <w:t>.</w:t>
      </w:r>
    </w:p>
    <w:p w:rsidR="00481164" w:rsidRDefault="00481164" w:rsidP="00B9640E"/>
    <w:p w:rsidR="00B9640E" w:rsidRDefault="00B9640E" w:rsidP="00B9640E">
      <w:r>
        <w:rPr>
          <w:rFonts w:hint="eastAsia"/>
        </w:rPr>
        <w:t>However</w:t>
      </w:r>
      <w:r>
        <w:t xml:space="preserve"> in EN-DC and NE-DC operation,</w:t>
      </w:r>
      <w:r>
        <w:rPr>
          <w:rFonts w:hint="eastAsia"/>
        </w:rPr>
        <w:t xml:space="preserve"> the collision </w:t>
      </w:r>
      <w:r>
        <w:t>between</w:t>
      </w:r>
      <w:r>
        <w:rPr>
          <w:rFonts w:hint="eastAsia"/>
        </w:rPr>
        <w:t xml:space="preserve"> </w:t>
      </w:r>
      <w:r w:rsidR="00481164">
        <w:t>LTE</w:t>
      </w:r>
      <w:r>
        <w:t xml:space="preserve"> SRS carrier switching and SSB/PBCH blocks may happen since there is no restriction. So NR requirements relevant to measurements on SSB/PBCH, e.g. intra-frequency measurement, inter-frequency measurement, </w:t>
      </w:r>
      <w:proofErr w:type="spellStart"/>
      <w:r>
        <w:t>SCell</w:t>
      </w:r>
      <w:proofErr w:type="spellEnd"/>
      <w:r>
        <w:t xml:space="preserve"> activation/deactivation etc., could be impacted. Extended delay is expected if collision happens.</w:t>
      </w:r>
    </w:p>
    <w:p w:rsidR="00B9640E" w:rsidRDefault="00B9640E" w:rsidP="00B9640E">
      <w:r>
        <w:t>Again in EN-DC and NE-DC operation, the collision between NR SRS carrier switching and E-UTRA PSS/SSS transmission may happen. Correspondingly E-UTRA measurement requirements in EN-DC and NE-DC operation could be impacted and extended delay is expected if collision happens.</w:t>
      </w:r>
    </w:p>
    <w:p w:rsidR="00B9640E" w:rsidRPr="00233982" w:rsidRDefault="00B211C6" w:rsidP="00B9640E">
      <w:pPr>
        <w:rPr>
          <w:rFonts w:cs="v4.2.0"/>
          <w:b/>
          <w:i/>
        </w:rPr>
      </w:pPr>
      <w:r w:rsidRPr="00233982">
        <w:rPr>
          <w:rFonts w:cs="v4.2.0" w:hint="eastAsia"/>
          <w:b/>
          <w:i/>
        </w:rPr>
        <w:t xml:space="preserve">Proposal </w:t>
      </w:r>
      <w:r>
        <w:rPr>
          <w:rFonts w:cs="v4.2.0"/>
          <w:b/>
          <w:i/>
        </w:rPr>
        <w:t>8</w:t>
      </w:r>
      <w:r w:rsidR="00B9640E" w:rsidRPr="00233982">
        <w:rPr>
          <w:rFonts w:cs="v4.2.0" w:hint="eastAsia"/>
          <w:b/>
          <w:i/>
        </w:rPr>
        <w:t xml:space="preserve">. </w:t>
      </w:r>
      <w:r w:rsidRPr="00B211C6">
        <w:rPr>
          <w:b/>
          <w:i/>
          <w:color w:val="000000"/>
          <w:szCs w:val="22"/>
          <w:lang w:val="en-US"/>
        </w:rPr>
        <w:t>In EN-DC and NE-DC operation, requirements relevant to measurements on SSB/PBCH</w:t>
      </w:r>
      <w:r w:rsidRPr="00B211C6">
        <w:rPr>
          <w:b/>
          <w:i/>
          <w:color w:val="000000"/>
          <w:szCs w:val="22"/>
        </w:rPr>
        <w:t>/CSI-RS</w:t>
      </w:r>
      <w:r w:rsidRPr="00B211C6">
        <w:rPr>
          <w:b/>
          <w:i/>
          <w:color w:val="000000"/>
          <w:szCs w:val="22"/>
          <w:lang w:val="en-US"/>
        </w:rPr>
        <w:t xml:space="preserve"> </w:t>
      </w:r>
      <w:r>
        <w:rPr>
          <w:b/>
          <w:i/>
          <w:color w:val="000000"/>
          <w:szCs w:val="22"/>
          <w:lang w:val="en-US"/>
        </w:rPr>
        <w:t>may be</w:t>
      </w:r>
      <w:r w:rsidRPr="00B211C6">
        <w:rPr>
          <w:b/>
          <w:i/>
          <w:color w:val="000000"/>
          <w:szCs w:val="22"/>
          <w:lang w:val="en-US"/>
        </w:rPr>
        <w:t xml:space="preserve"> impacted due to LTE SRS carrier switching</w:t>
      </w:r>
      <w:r>
        <w:rPr>
          <w:b/>
          <w:i/>
          <w:color w:val="000000"/>
          <w:szCs w:val="22"/>
          <w:lang w:val="en-US"/>
        </w:rPr>
        <w:t>.</w:t>
      </w:r>
    </w:p>
    <w:p w:rsidR="00B9640E" w:rsidRPr="00233982" w:rsidRDefault="00B211C6" w:rsidP="00B9640E">
      <w:pPr>
        <w:rPr>
          <w:rFonts w:cs="v4.2.0"/>
          <w:b/>
          <w:i/>
        </w:rPr>
      </w:pPr>
      <w:r w:rsidRPr="00233982">
        <w:rPr>
          <w:rFonts w:cs="v4.2.0" w:hint="eastAsia"/>
          <w:b/>
          <w:i/>
        </w:rPr>
        <w:t xml:space="preserve">Proposal </w:t>
      </w:r>
      <w:r>
        <w:rPr>
          <w:rFonts w:cs="v4.2.0"/>
          <w:b/>
          <w:i/>
        </w:rPr>
        <w:t>9.</w:t>
      </w:r>
      <w:r w:rsidRPr="00B211C6">
        <w:rPr>
          <w:i/>
          <w:color w:val="000000"/>
          <w:szCs w:val="22"/>
          <w:lang w:val="en-US"/>
        </w:rPr>
        <w:t xml:space="preserve"> </w:t>
      </w:r>
      <w:r w:rsidRPr="00B211C6">
        <w:rPr>
          <w:rFonts w:cs="v4.2.0"/>
          <w:b/>
          <w:i/>
        </w:rPr>
        <w:t xml:space="preserve">In EN-DC and NE-DC operation, requirements relevant to E-UTRA measurements </w:t>
      </w:r>
      <w:r>
        <w:rPr>
          <w:rFonts w:cs="v4.2.0"/>
          <w:b/>
          <w:i/>
        </w:rPr>
        <w:t>may be</w:t>
      </w:r>
      <w:r w:rsidRPr="00B211C6">
        <w:rPr>
          <w:rFonts w:cs="v4.2.0"/>
          <w:b/>
          <w:i/>
        </w:rPr>
        <w:t xml:space="preserve"> impacted due to NR SRS carrier switching.</w:t>
      </w:r>
    </w:p>
    <w:p w:rsidR="0061056F" w:rsidRPr="00B211C6" w:rsidRDefault="0061056F" w:rsidP="00B9640E"/>
    <w:p w:rsidR="00B9640E" w:rsidRDefault="00B9640E" w:rsidP="00B9640E">
      <w:pPr>
        <w:pStyle w:val="2"/>
        <w:ind w:left="0" w:firstLine="0"/>
        <w:jc w:val="both"/>
        <w:rPr>
          <w:sz w:val="24"/>
          <w:szCs w:val="24"/>
          <w:lang w:val="en-US"/>
        </w:rPr>
      </w:pPr>
      <w:r>
        <w:rPr>
          <w:rFonts w:hint="eastAsia"/>
          <w:sz w:val="24"/>
          <w:szCs w:val="24"/>
          <w:lang w:val="en-US"/>
        </w:rPr>
        <w:t>3. Conclusion</w:t>
      </w:r>
    </w:p>
    <w:p w:rsidR="00B9640E" w:rsidRDefault="00B9640E" w:rsidP="00B9640E">
      <w:pPr>
        <w:spacing w:before="240" w:after="120"/>
        <w:jc w:val="both"/>
        <w:rPr>
          <w:lang w:val="en-US"/>
        </w:rPr>
      </w:pPr>
      <w:r>
        <w:rPr>
          <w:rFonts w:hint="eastAsia"/>
          <w:lang w:val="en-US"/>
        </w:rPr>
        <w:t xml:space="preserve">In this contribution, we </w:t>
      </w:r>
      <w:r w:rsidR="007E5A8A">
        <w:rPr>
          <w:lang w:val="en-US"/>
        </w:rPr>
        <w:t xml:space="preserve">further </w:t>
      </w:r>
      <w:r>
        <w:rPr>
          <w:rFonts w:hint="eastAsia"/>
          <w:lang w:val="en-US"/>
        </w:rPr>
        <w:t>provide</w:t>
      </w:r>
      <w:r>
        <w:rPr>
          <w:lang w:val="en-US"/>
        </w:rPr>
        <w:t>d</w:t>
      </w:r>
      <w:r>
        <w:rPr>
          <w:rFonts w:hint="eastAsia"/>
          <w:lang w:val="en-US"/>
        </w:rPr>
        <w:t xml:space="preserve"> our </w:t>
      </w:r>
      <w:r>
        <w:rPr>
          <w:rFonts w:cs="v4.2.0"/>
        </w:rPr>
        <w:t>views o</w:t>
      </w:r>
      <w:r>
        <w:rPr>
          <w:rFonts w:cs="v4.2.0" w:hint="eastAsia"/>
          <w:lang w:val="en-US"/>
        </w:rPr>
        <w:t xml:space="preserve">n </w:t>
      </w:r>
      <w:r>
        <w:rPr>
          <w:rFonts w:cs="v4.2.0"/>
          <w:lang w:val="en-US"/>
        </w:rPr>
        <w:t>RRM requirements of SRS carrier switching for UE in NR SA, NR-DC, EN-DC or NE-DC operation</w:t>
      </w:r>
      <w:r>
        <w:rPr>
          <w:rFonts w:cs="v4.2.0" w:hint="eastAsia"/>
          <w:lang w:val="en-US"/>
        </w:rPr>
        <w:t>.</w:t>
      </w:r>
      <w:r>
        <w:rPr>
          <w:rFonts w:hint="eastAsia"/>
          <w:lang w:val="en-US"/>
        </w:rPr>
        <w:t xml:space="preserve"> Based on the observations following proposals are present.</w:t>
      </w:r>
      <w:r>
        <w:rPr>
          <w:lang w:val="en-US"/>
        </w:rPr>
        <w:t xml:space="preserve"> </w:t>
      </w:r>
    </w:p>
    <w:p w:rsidR="00451D3D" w:rsidRDefault="00451D3D" w:rsidP="00451D3D">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sidRPr="00B573A3">
        <w:rPr>
          <w:b/>
          <w:i/>
          <w:lang w:val="en-US"/>
        </w:rPr>
        <w:t>All of the SRS carrier switching time is applicable for both FR1 and FR2</w:t>
      </w:r>
      <w:r>
        <w:rPr>
          <w:rFonts w:cs="v4.2.0"/>
          <w:b/>
          <w:i/>
        </w:rPr>
        <w:t>.</w:t>
      </w:r>
    </w:p>
    <w:p w:rsidR="00451D3D" w:rsidRDefault="00451D3D" w:rsidP="00451D3D">
      <w:pPr>
        <w:rPr>
          <w:rFonts w:cs="v4.2.0"/>
          <w:b/>
          <w:i/>
        </w:rPr>
      </w:pPr>
      <w:r w:rsidRPr="00D554B6">
        <w:rPr>
          <w:rFonts w:cs="v4.2.0" w:hint="eastAsia"/>
          <w:b/>
          <w:i/>
        </w:rPr>
        <w:t xml:space="preserve">Proposal </w:t>
      </w:r>
      <w:r>
        <w:rPr>
          <w:rFonts w:cs="v4.2.0"/>
          <w:b/>
          <w:i/>
        </w:rPr>
        <w:t>2</w:t>
      </w:r>
      <w:r w:rsidRPr="00D554B6">
        <w:rPr>
          <w:rFonts w:cs="v4.2.0" w:hint="eastAsia"/>
          <w:b/>
          <w:i/>
        </w:rPr>
        <w:t>.</w:t>
      </w:r>
      <w:r w:rsidRPr="003B485E">
        <w:rPr>
          <w:rFonts w:cs="v4.2.0" w:hint="eastAsia"/>
          <w:b/>
          <w:i/>
        </w:rPr>
        <w:t xml:space="preserve"> </w:t>
      </w:r>
      <w:r w:rsidRPr="003B485E">
        <w:rPr>
          <w:b/>
          <w:i/>
          <w:lang w:val="en-US"/>
        </w:rPr>
        <w:t>Interruption length on NR victim cells during NR SRS carrier switching in EN-DC, NE-DC, NR-DC and SA operation</w:t>
      </w:r>
      <w:r w:rsidRPr="003B485E">
        <w:rPr>
          <w:rFonts w:cs="v4.2.0"/>
          <w:b/>
          <w:i/>
        </w:rPr>
        <w:t xml:space="preserve"> is as in Table 1.</w:t>
      </w:r>
    </w:p>
    <w:p w:rsidR="00451D3D" w:rsidRPr="003B485E" w:rsidRDefault="00451D3D" w:rsidP="00451D3D">
      <w:pPr>
        <w:jc w:val="center"/>
        <w:rPr>
          <w:lang w:val="en-US"/>
        </w:rPr>
      </w:pPr>
      <w:r>
        <w:rPr>
          <w:lang w:val="en-US"/>
        </w:rPr>
        <w:t>Table 1. Interruption length on NR victim cell during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304"/>
        <w:gridCol w:w="1304"/>
        <w:gridCol w:w="1304"/>
        <w:gridCol w:w="1304"/>
        <w:gridCol w:w="1304"/>
      </w:tblGrid>
      <w:tr w:rsidR="00451D3D" w:rsidTr="000975F2">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rsidR="00451D3D" w:rsidRPr="00DD3199" w:rsidRDefault="00451D3D" w:rsidP="000975F2">
            <w:pPr>
              <w:keepNext/>
              <w:keepLines/>
              <w:spacing w:after="0"/>
              <w:jc w:val="center"/>
            </w:pPr>
            <w:r w:rsidRPr="00DD3199">
              <w:rPr>
                <w:rFonts w:ascii="Arial" w:hAnsi="Arial"/>
                <w:b/>
                <w:noProof/>
                <w:sz w:val="18"/>
                <w:lang w:val="en-US"/>
              </w:rPr>
              <w:lastRenderedPageBreak/>
              <w:drawing>
                <wp:inline distT="0" distB="0" distL="0" distR="0" wp14:anchorId="196D5B00" wp14:editId="1348D942">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rsidR="00451D3D" w:rsidRPr="00DD3199" w:rsidRDefault="00451D3D" w:rsidP="000975F2">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r>
              <w:rPr>
                <w:rFonts w:ascii="Arial" w:hAnsi="Arial"/>
                <w:b/>
                <w:sz w:val="18"/>
              </w:rPr>
              <w:t xml:space="preserve"> of victim cell</w:t>
            </w:r>
          </w:p>
        </w:tc>
        <w:tc>
          <w:tcPr>
            <w:tcW w:w="1304" w:type="dxa"/>
            <w:vMerge w:val="restart"/>
            <w:tcBorders>
              <w:top w:val="single" w:sz="4" w:space="0" w:color="auto"/>
              <w:left w:val="single" w:sz="4" w:space="0" w:color="auto"/>
              <w:right w:val="single" w:sz="4" w:space="0" w:color="auto"/>
            </w:tcBorders>
            <w:hideMark/>
          </w:tcPr>
          <w:p w:rsidR="00451D3D" w:rsidRPr="00DD3199" w:rsidRDefault="00451D3D" w:rsidP="000975F2">
            <w:pPr>
              <w:keepNext/>
              <w:keepLines/>
              <w:spacing w:after="0"/>
              <w:jc w:val="center"/>
            </w:pPr>
            <w:r>
              <w:rPr>
                <w:rFonts w:ascii="Arial" w:hAnsi="Arial"/>
                <w:b/>
                <w:sz w:val="18"/>
                <w:lang w:val="fr-FR"/>
              </w:rPr>
              <w:t>SRS carrier switching time (us)</w:t>
            </w:r>
          </w:p>
        </w:tc>
        <w:tc>
          <w:tcPr>
            <w:tcW w:w="5216" w:type="dxa"/>
            <w:gridSpan w:val="4"/>
            <w:tcBorders>
              <w:top w:val="single" w:sz="4" w:space="0" w:color="auto"/>
              <w:left w:val="single" w:sz="4" w:space="0" w:color="auto"/>
              <w:right w:val="single" w:sz="4" w:space="0" w:color="auto"/>
            </w:tcBorders>
          </w:tcPr>
          <w:p w:rsidR="00451D3D" w:rsidRDefault="00451D3D" w:rsidP="000975F2">
            <w:pPr>
              <w:keepNext/>
              <w:keepLines/>
              <w:spacing w:after="0"/>
              <w:jc w:val="center"/>
              <w:rPr>
                <w:rFonts w:ascii="Arial" w:hAnsi="Arial"/>
                <w:b/>
                <w:sz w:val="18"/>
                <w:lang w:val="fr-FR"/>
              </w:rPr>
            </w:pPr>
            <w:r>
              <w:rPr>
                <w:rFonts w:ascii="Arial" w:hAnsi="Arial"/>
                <w:b/>
                <w:sz w:val="18"/>
                <w:lang w:val="fr-FR"/>
              </w:rPr>
              <w:t>Interruption length X (slots)</w:t>
            </w:r>
          </w:p>
        </w:tc>
      </w:tr>
      <w:tr w:rsidR="00451D3D" w:rsidTr="000975F2">
        <w:trPr>
          <w:trHeight w:val="150"/>
          <w:jc w:val="center"/>
        </w:trPr>
        <w:tc>
          <w:tcPr>
            <w:tcW w:w="649" w:type="dxa"/>
            <w:vMerge/>
            <w:tcBorders>
              <w:left w:val="single" w:sz="4" w:space="0" w:color="auto"/>
              <w:right w:val="single" w:sz="4" w:space="0" w:color="auto"/>
            </w:tcBorders>
            <w:vAlign w:val="center"/>
          </w:tcPr>
          <w:p w:rsidR="00451D3D" w:rsidRPr="00DD3199" w:rsidRDefault="00451D3D" w:rsidP="000975F2">
            <w:pPr>
              <w:keepNext/>
              <w:keepLines/>
              <w:spacing w:after="0"/>
              <w:jc w:val="center"/>
              <w:rPr>
                <w:rFonts w:ascii="Arial" w:hAnsi="Arial"/>
                <w:b/>
                <w:noProof/>
                <w:sz w:val="18"/>
                <w:lang w:val="en-US"/>
              </w:rPr>
            </w:pPr>
          </w:p>
        </w:tc>
        <w:tc>
          <w:tcPr>
            <w:tcW w:w="1473" w:type="dxa"/>
            <w:vMerge/>
            <w:tcBorders>
              <w:left w:val="single" w:sz="4" w:space="0" w:color="auto"/>
              <w:right w:val="single" w:sz="4" w:space="0" w:color="auto"/>
            </w:tcBorders>
          </w:tcPr>
          <w:p w:rsidR="00451D3D" w:rsidRPr="00DD3199" w:rsidRDefault="00451D3D" w:rsidP="000975F2">
            <w:pPr>
              <w:keepNext/>
              <w:keepLines/>
              <w:spacing w:after="0"/>
              <w:jc w:val="center"/>
              <w:rPr>
                <w:rFonts w:ascii="Arial" w:hAnsi="Arial"/>
                <w:b/>
                <w:sz w:val="18"/>
              </w:rPr>
            </w:pPr>
          </w:p>
        </w:tc>
        <w:tc>
          <w:tcPr>
            <w:tcW w:w="1304" w:type="dxa"/>
            <w:vMerge/>
            <w:tcBorders>
              <w:left w:val="single" w:sz="4" w:space="0" w:color="auto"/>
              <w:right w:val="single" w:sz="4" w:space="0" w:color="auto"/>
            </w:tcBorders>
          </w:tcPr>
          <w:p w:rsidR="00451D3D" w:rsidRDefault="00451D3D" w:rsidP="000975F2">
            <w:pPr>
              <w:keepNext/>
              <w:keepLines/>
              <w:spacing w:after="0"/>
              <w:jc w:val="center"/>
              <w:rPr>
                <w:rFonts w:ascii="Arial" w:hAnsi="Arial"/>
                <w:b/>
                <w:sz w:val="18"/>
                <w:lang w:val="fr-FR"/>
              </w:rPr>
            </w:pPr>
          </w:p>
        </w:tc>
        <w:tc>
          <w:tcPr>
            <w:tcW w:w="5216" w:type="dxa"/>
            <w:gridSpan w:val="4"/>
            <w:tcBorders>
              <w:top w:val="single" w:sz="4" w:space="0" w:color="auto"/>
              <w:left w:val="single" w:sz="4" w:space="0" w:color="auto"/>
              <w:right w:val="single" w:sz="4" w:space="0" w:color="auto"/>
            </w:tcBorders>
          </w:tcPr>
          <w:p w:rsidR="00451D3D" w:rsidRDefault="00451D3D" w:rsidP="000975F2">
            <w:pPr>
              <w:keepNext/>
              <w:keepLines/>
              <w:spacing w:after="0"/>
              <w:jc w:val="center"/>
              <w:rPr>
                <w:rFonts w:ascii="Arial" w:hAnsi="Arial"/>
                <w:b/>
                <w:sz w:val="18"/>
                <w:lang w:val="fr-FR"/>
              </w:rPr>
            </w:pPr>
            <w:r>
              <w:rPr>
                <w:rFonts w:ascii="Arial" w:hAnsi="Arial"/>
                <w:b/>
                <w:sz w:val="18"/>
                <w:lang w:val="fr-FR"/>
              </w:rPr>
              <w:t>Sub carrier spacing for agressor cell (kHz)</w:t>
            </w:r>
          </w:p>
        </w:tc>
      </w:tr>
      <w:tr w:rsidR="00451D3D" w:rsidTr="000975F2">
        <w:trPr>
          <w:trHeight w:val="150"/>
          <w:jc w:val="center"/>
        </w:trPr>
        <w:tc>
          <w:tcPr>
            <w:tcW w:w="649" w:type="dxa"/>
            <w:vMerge/>
            <w:tcBorders>
              <w:left w:val="single" w:sz="4" w:space="0" w:color="auto"/>
              <w:bottom w:val="single" w:sz="4" w:space="0" w:color="auto"/>
              <w:right w:val="single" w:sz="4" w:space="0" w:color="auto"/>
            </w:tcBorders>
            <w:vAlign w:val="center"/>
          </w:tcPr>
          <w:p w:rsidR="00451D3D" w:rsidRPr="00DD3199" w:rsidRDefault="00451D3D" w:rsidP="000975F2">
            <w:pPr>
              <w:keepNext/>
              <w:keepLines/>
              <w:spacing w:after="0"/>
              <w:jc w:val="center"/>
              <w:rPr>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rsidR="00451D3D" w:rsidRPr="00DD3199" w:rsidRDefault="00451D3D" w:rsidP="000975F2">
            <w:pPr>
              <w:keepNext/>
              <w:keepLines/>
              <w:spacing w:after="0"/>
              <w:jc w:val="center"/>
              <w:rPr>
                <w:rFonts w:ascii="Arial" w:hAnsi="Arial"/>
                <w:b/>
                <w:sz w:val="18"/>
              </w:rPr>
            </w:pPr>
          </w:p>
        </w:tc>
        <w:tc>
          <w:tcPr>
            <w:tcW w:w="1304" w:type="dxa"/>
            <w:vMerge/>
            <w:tcBorders>
              <w:left w:val="single" w:sz="4" w:space="0" w:color="auto"/>
              <w:right w:val="single" w:sz="4" w:space="0" w:color="auto"/>
            </w:tcBorders>
          </w:tcPr>
          <w:p w:rsidR="00451D3D" w:rsidRDefault="00451D3D" w:rsidP="000975F2">
            <w:pPr>
              <w:keepNext/>
              <w:keepLines/>
              <w:spacing w:after="0"/>
              <w:jc w:val="center"/>
              <w:rPr>
                <w:rFonts w:ascii="Arial" w:hAnsi="Arial"/>
                <w:b/>
                <w:sz w:val="18"/>
                <w:lang w:val="fr-FR"/>
              </w:rPr>
            </w:pPr>
          </w:p>
        </w:tc>
        <w:tc>
          <w:tcPr>
            <w:tcW w:w="1304" w:type="dxa"/>
            <w:tcBorders>
              <w:top w:val="single" w:sz="4" w:space="0" w:color="auto"/>
              <w:left w:val="single" w:sz="4" w:space="0" w:color="auto"/>
              <w:right w:val="single" w:sz="4" w:space="0" w:color="auto"/>
            </w:tcBorders>
          </w:tcPr>
          <w:p w:rsidR="00451D3D" w:rsidRPr="00FC2972" w:rsidRDefault="00451D3D" w:rsidP="000975F2">
            <w:pPr>
              <w:keepNext/>
              <w:keepLines/>
              <w:spacing w:after="0"/>
              <w:jc w:val="center"/>
              <w:rPr>
                <w:rFonts w:ascii="Arial" w:hAnsi="Arial"/>
                <w:sz w:val="18"/>
                <w:lang w:val="fr-FR"/>
              </w:rPr>
            </w:pPr>
            <w:r w:rsidRPr="00FC2972">
              <w:rPr>
                <w:rFonts w:ascii="Arial" w:hAnsi="Arial"/>
                <w:sz w:val="18"/>
                <w:lang w:val="fr-FR"/>
              </w:rPr>
              <w:t>15</w:t>
            </w:r>
          </w:p>
        </w:tc>
        <w:tc>
          <w:tcPr>
            <w:tcW w:w="1304" w:type="dxa"/>
            <w:tcBorders>
              <w:top w:val="single" w:sz="4" w:space="0" w:color="auto"/>
              <w:left w:val="single" w:sz="4" w:space="0" w:color="auto"/>
              <w:right w:val="single" w:sz="4" w:space="0" w:color="auto"/>
            </w:tcBorders>
          </w:tcPr>
          <w:p w:rsidR="00451D3D" w:rsidRPr="00FC2972" w:rsidRDefault="00451D3D" w:rsidP="000975F2">
            <w:pPr>
              <w:keepNext/>
              <w:keepLines/>
              <w:spacing w:after="0"/>
              <w:jc w:val="center"/>
              <w:rPr>
                <w:rFonts w:ascii="Arial" w:hAnsi="Arial"/>
                <w:sz w:val="18"/>
                <w:lang w:val="fr-FR"/>
              </w:rPr>
            </w:pPr>
            <w:r w:rsidRPr="00FC2972">
              <w:rPr>
                <w:rFonts w:ascii="Arial" w:hAnsi="Arial" w:hint="eastAsia"/>
                <w:sz w:val="18"/>
                <w:lang w:val="fr-FR"/>
              </w:rPr>
              <w:t>30</w:t>
            </w:r>
          </w:p>
        </w:tc>
        <w:tc>
          <w:tcPr>
            <w:tcW w:w="1304" w:type="dxa"/>
            <w:tcBorders>
              <w:top w:val="single" w:sz="4" w:space="0" w:color="auto"/>
              <w:left w:val="single" w:sz="4" w:space="0" w:color="auto"/>
              <w:right w:val="single" w:sz="4" w:space="0" w:color="auto"/>
            </w:tcBorders>
          </w:tcPr>
          <w:p w:rsidR="00451D3D" w:rsidRPr="00FC2972" w:rsidRDefault="00451D3D" w:rsidP="000975F2">
            <w:pPr>
              <w:keepNext/>
              <w:keepLines/>
              <w:spacing w:after="0"/>
              <w:jc w:val="center"/>
              <w:rPr>
                <w:rFonts w:ascii="Arial" w:hAnsi="Arial"/>
                <w:sz w:val="18"/>
                <w:lang w:val="fr-FR"/>
              </w:rPr>
            </w:pPr>
            <w:r w:rsidRPr="00FC2972">
              <w:rPr>
                <w:rFonts w:ascii="Arial" w:hAnsi="Arial" w:hint="eastAsia"/>
                <w:sz w:val="18"/>
                <w:lang w:val="fr-FR"/>
              </w:rPr>
              <w:t>60</w:t>
            </w:r>
          </w:p>
        </w:tc>
        <w:tc>
          <w:tcPr>
            <w:tcW w:w="1304" w:type="dxa"/>
            <w:tcBorders>
              <w:top w:val="single" w:sz="4" w:space="0" w:color="auto"/>
              <w:left w:val="single" w:sz="4" w:space="0" w:color="auto"/>
              <w:right w:val="single" w:sz="4" w:space="0" w:color="auto"/>
            </w:tcBorders>
          </w:tcPr>
          <w:p w:rsidR="00451D3D" w:rsidRPr="00FC2972" w:rsidRDefault="00451D3D" w:rsidP="000975F2">
            <w:pPr>
              <w:keepNext/>
              <w:keepLines/>
              <w:spacing w:after="0"/>
              <w:jc w:val="center"/>
              <w:rPr>
                <w:rFonts w:ascii="Arial" w:hAnsi="Arial"/>
                <w:sz w:val="18"/>
                <w:lang w:val="fr-FR"/>
              </w:rPr>
            </w:pPr>
            <w:r w:rsidRPr="00FC2972">
              <w:rPr>
                <w:rFonts w:ascii="Arial" w:hAnsi="Arial" w:hint="eastAsia"/>
                <w:sz w:val="18"/>
                <w:lang w:val="fr-FR"/>
              </w:rPr>
              <w:t>120</w:t>
            </w:r>
          </w:p>
        </w:tc>
      </w:tr>
      <w:tr w:rsidR="00451D3D" w:rsidTr="000975F2">
        <w:trPr>
          <w:trHeight w:val="101"/>
          <w:jc w:val="center"/>
        </w:trPr>
        <w:tc>
          <w:tcPr>
            <w:tcW w:w="649" w:type="dxa"/>
            <w:vMerge w:val="restart"/>
            <w:tcBorders>
              <w:top w:val="single" w:sz="4" w:space="0" w:color="auto"/>
              <w:left w:val="single" w:sz="4" w:space="0" w:color="auto"/>
              <w:right w:val="single" w:sz="4" w:space="0" w:color="auto"/>
            </w:tcBorders>
            <w:hideMark/>
          </w:tcPr>
          <w:p w:rsidR="00451D3D" w:rsidRPr="00DD3199" w:rsidRDefault="00451D3D" w:rsidP="000975F2">
            <w:pPr>
              <w:pStyle w:val="TAC"/>
            </w:pPr>
            <w:r w:rsidRPr="00DD3199">
              <w:t>0</w:t>
            </w:r>
          </w:p>
        </w:tc>
        <w:tc>
          <w:tcPr>
            <w:tcW w:w="1473" w:type="dxa"/>
            <w:vMerge w:val="restart"/>
            <w:tcBorders>
              <w:top w:val="single" w:sz="4" w:space="0" w:color="auto"/>
              <w:left w:val="single" w:sz="4" w:space="0" w:color="auto"/>
              <w:right w:val="single" w:sz="4" w:space="0" w:color="auto"/>
            </w:tcBorders>
            <w:hideMark/>
          </w:tcPr>
          <w:p w:rsidR="00451D3D" w:rsidRPr="00DD3199" w:rsidRDefault="00451D3D" w:rsidP="000975F2">
            <w:pPr>
              <w:pStyle w:val="TAC"/>
            </w:pPr>
            <w:r w:rsidRPr="00DD3199">
              <w:t>1</w:t>
            </w:r>
          </w:p>
        </w:tc>
        <w:tc>
          <w:tcPr>
            <w:tcW w:w="1304" w:type="dxa"/>
            <w:tcBorders>
              <w:left w:val="single" w:sz="4" w:space="0" w:color="auto"/>
              <w:right w:val="single" w:sz="4" w:space="0" w:color="auto"/>
            </w:tcBorders>
          </w:tcPr>
          <w:p w:rsidR="00451D3D" w:rsidRDefault="00451D3D" w:rsidP="000975F2">
            <w:pPr>
              <w:pStyle w:val="TAC"/>
              <w:rPr>
                <w:lang w:val="fr-FR"/>
              </w:rPr>
            </w:pPr>
            <w:r>
              <w:rPr>
                <w:lang w:val="fr-FR"/>
              </w:rPr>
              <w:t>200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451D3D" w:rsidTr="000975F2">
        <w:trPr>
          <w:trHeight w:val="100"/>
          <w:jc w:val="center"/>
        </w:trPr>
        <w:tc>
          <w:tcPr>
            <w:tcW w:w="649" w:type="dxa"/>
            <w:vMerge/>
            <w:tcBorders>
              <w:left w:val="single" w:sz="4" w:space="0" w:color="auto"/>
              <w:right w:val="single" w:sz="4" w:space="0" w:color="auto"/>
            </w:tcBorders>
          </w:tcPr>
          <w:p w:rsidR="00451D3D" w:rsidRPr="00DD3199" w:rsidRDefault="00451D3D" w:rsidP="000975F2">
            <w:pPr>
              <w:pStyle w:val="TAC"/>
            </w:pPr>
          </w:p>
        </w:tc>
        <w:tc>
          <w:tcPr>
            <w:tcW w:w="1473" w:type="dxa"/>
            <w:vMerge/>
            <w:tcBorders>
              <w:left w:val="single" w:sz="4" w:space="0" w:color="auto"/>
              <w:right w:val="single" w:sz="4" w:space="0" w:color="auto"/>
            </w:tcBorders>
          </w:tcPr>
          <w:p w:rsidR="00451D3D" w:rsidRPr="00DD3199" w:rsidRDefault="00451D3D" w:rsidP="000975F2">
            <w:pPr>
              <w:pStyle w:val="TAC"/>
            </w:pPr>
          </w:p>
        </w:tc>
        <w:tc>
          <w:tcPr>
            <w:tcW w:w="1304" w:type="dxa"/>
            <w:tcBorders>
              <w:left w:val="single" w:sz="4" w:space="0" w:color="auto"/>
              <w:right w:val="single" w:sz="4" w:space="0" w:color="auto"/>
            </w:tcBorders>
          </w:tcPr>
          <w:p w:rsidR="00451D3D" w:rsidRDefault="00451D3D" w:rsidP="000975F2">
            <w:pPr>
              <w:pStyle w:val="TAC"/>
              <w:rPr>
                <w:lang w:val="fr-FR"/>
              </w:rPr>
            </w:pPr>
            <w:r>
              <w:rPr>
                <w:rFonts w:hint="eastAsia"/>
                <w:lang w:val="fr-FR"/>
              </w:rPr>
              <w:t>500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451D3D" w:rsidTr="000975F2">
        <w:trPr>
          <w:trHeight w:val="100"/>
          <w:jc w:val="center"/>
        </w:trPr>
        <w:tc>
          <w:tcPr>
            <w:tcW w:w="649" w:type="dxa"/>
            <w:vMerge/>
            <w:tcBorders>
              <w:left w:val="single" w:sz="4" w:space="0" w:color="auto"/>
              <w:bottom w:val="single" w:sz="4" w:space="0" w:color="auto"/>
              <w:right w:val="single" w:sz="4" w:space="0" w:color="auto"/>
            </w:tcBorders>
          </w:tcPr>
          <w:p w:rsidR="00451D3D" w:rsidRPr="00DD3199" w:rsidRDefault="00451D3D" w:rsidP="000975F2">
            <w:pPr>
              <w:pStyle w:val="TAC"/>
            </w:pPr>
          </w:p>
        </w:tc>
        <w:tc>
          <w:tcPr>
            <w:tcW w:w="1473" w:type="dxa"/>
            <w:vMerge/>
            <w:tcBorders>
              <w:left w:val="single" w:sz="4" w:space="0" w:color="auto"/>
              <w:bottom w:val="single" w:sz="4" w:space="0" w:color="auto"/>
              <w:right w:val="single" w:sz="4" w:space="0" w:color="auto"/>
            </w:tcBorders>
          </w:tcPr>
          <w:p w:rsidR="00451D3D" w:rsidRPr="00DD3199" w:rsidRDefault="00451D3D" w:rsidP="000975F2">
            <w:pPr>
              <w:pStyle w:val="TAC"/>
            </w:pPr>
          </w:p>
        </w:tc>
        <w:tc>
          <w:tcPr>
            <w:tcW w:w="1304" w:type="dxa"/>
            <w:tcBorders>
              <w:left w:val="single" w:sz="4" w:space="0" w:color="auto"/>
              <w:right w:val="single" w:sz="4" w:space="0" w:color="auto"/>
            </w:tcBorders>
          </w:tcPr>
          <w:p w:rsidR="00451D3D" w:rsidRDefault="00451D3D" w:rsidP="000975F2">
            <w:pPr>
              <w:pStyle w:val="TAC"/>
              <w:rPr>
                <w:lang w:val="fr-FR"/>
              </w:rPr>
            </w:pPr>
            <w:r>
              <w:rPr>
                <w:rFonts w:hint="eastAsia"/>
                <w:lang w:val="fr-FR"/>
              </w:rPr>
              <w:t>900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451D3D" w:rsidTr="000975F2">
        <w:trPr>
          <w:trHeight w:val="101"/>
          <w:jc w:val="center"/>
        </w:trPr>
        <w:tc>
          <w:tcPr>
            <w:tcW w:w="649" w:type="dxa"/>
            <w:vMerge w:val="restart"/>
            <w:tcBorders>
              <w:top w:val="single" w:sz="4" w:space="0" w:color="auto"/>
              <w:left w:val="single" w:sz="4" w:space="0" w:color="auto"/>
              <w:right w:val="single" w:sz="4" w:space="0" w:color="auto"/>
            </w:tcBorders>
            <w:hideMark/>
          </w:tcPr>
          <w:p w:rsidR="00451D3D" w:rsidRPr="00DD3199" w:rsidRDefault="00451D3D" w:rsidP="000975F2">
            <w:pPr>
              <w:pStyle w:val="TAC"/>
            </w:pPr>
            <w:r w:rsidRPr="00DD3199">
              <w:t>1</w:t>
            </w:r>
          </w:p>
        </w:tc>
        <w:tc>
          <w:tcPr>
            <w:tcW w:w="1473" w:type="dxa"/>
            <w:vMerge w:val="restart"/>
            <w:tcBorders>
              <w:top w:val="single" w:sz="4" w:space="0" w:color="auto"/>
              <w:left w:val="single" w:sz="4" w:space="0" w:color="auto"/>
              <w:right w:val="single" w:sz="4" w:space="0" w:color="auto"/>
            </w:tcBorders>
            <w:hideMark/>
          </w:tcPr>
          <w:p w:rsidR="00451D3D" w:rsidRPr="00DD3199" w:rsidRDefault="00451D3D" w:rsidP="000975F2">
            <w:pPr>
              <w:pStyle w:val="TAC"/>
            </w:pPr>
            <w:r w:rsidRPr="00DD3199">
              <w:t>0.5</w:t>
            </w:r>
          </w:p>
        </w:tc>
        <w:tc>
          <w:tcPr>
            <w:tcW w:w="1304" w:type="dxa"/>
            <w:tcBorders>
              <w:left w:val="single" w:sz="4" w:space="0" w:color="auto"/>
              <w:right w:val="single" w:sz="4" w:space="0" w:color="auto"/>
            </w:tcBorders>
          </w:tcPr>
          <w:p w:rsidR="00451D3D" w:rsidRDefault="00451D3D" w:rsidP="000975F2">
            <w:pPr>
              <w:pStyle w:val="TAC"/>
              <w:rPr>
                <w:lang w:val="fr-FR"/>
              </w:rPr>
            </w:pPr>
            <w:r>
              <w:rPr>
                <w:lang w:val="fr-FR"/>
              </w:rPr>
              <w:t>200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2</w:t>
            </w:r>
          </w:p>
        </w:tc>
      </w:tr>
      <w:tr w:rsidR="00451D3D" w:rsidTr="000975F2">
        <w:trPr>
          <w:trHeight w:val="100"/>
          <w:jc w:val="center"/>
        </w:trPr>
        <w:tc>
          <w:tcPr>
            <w:tcW w:w="649" w:type="dxa"/>
            <w:vMerge/>
            <w:tcBorders>
              <w:left w:val="single" w:sz="4" w:space="0" w:color="auto"/>
              <w:right w:val="single" w:sz="4" w:space="0" w:color="auto"/>
            </w:tcBorders>
          </w:tcPr>
          <w:p w:rsidR="00451D3D" w:rsidRPr="00DD3199" w:rsidRDefault="00451D3D" w:rsidP="000975F2">
            <w:pPr>
              <w:pStyle w:val="TAC"/>
            </w:pPr>
          </w:p>
        </w:tc>
        <w:tc>
          <w:tcPr>
            <w:tcW w:w="1473" w:type="dxa"/>
            <w:vMerge/>
            <w:tcBorders>
              <w:left w:val="single" w:sz="4" w:space="0" w:color="auto"/>
              <w:right w:val="single" w:sz="4" w:space="0" w:color="auto"/>
            </w:tcBorders>
          </w:tcPr>
          <w:p w:rsidR="00451D3D" w:rsidRPr="00DD3199" w:rsidRDefault="00451D3D" w:rsidP="000975F2">
            <w:pPr>
              <w:pStyle w:val="TAC"/>
            </w:pPr>
          </w:p>
        </w:tc>
        <w:tc>
          <w:tcPr>
            <w:tcW w:w="1304" w:type="dxa"/>
            <w:tcBorders>
              <w:left w:val="single" w:sz="4" w:space="0" w:color="auto"/>
              <w:right w:val="single" w:sz="4" w:space="0" w:color="auto"/>
            </w:tcBorders>
          </w:tcPr>
          <w:p w:rsidR="00451D3D" w:rsidRDefault="00451D3D" w:rsidP="000975F2">
            <w:pPr>
              <w:pStyle w:val="TAC"/>
              <w:rPr>
                <w:lang w:val="fr-FR"/>
              </w:rPr>
            </w:pPr>
            <w:r>
              <w:rPr>
                <w:rFonts w:hint="eastAsia"/>
                <w:lang w:val="fr-FR"/>
              </w:rPr>
              <w:t>500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r>
      <w:tr w:rsidR="00451D3D" w:rsidTr="000975F2">
        <w:trPr>
          <w:trHeight w:val="100"/>
          <w:jc w:val="center"/>
        </w:trPr>
        <w:tc>
          <w:tcPr>
            <w:tcW w:w="649" w:type="dxa"/>
            <w:vMerge/>
            <w:tcBorders>
              <w:left w:val="single" w:sz="4" w:space="0" w:color="auto"/>
              <w:bottom w:val="single" w:sz="4" w:space="0" w:color="auto"/>
              <w:right w:val="single" w:sz="4" w:space="0" w:color="auto"/>
            </w:tcBorders>
          </w:tcPr>
          <w:p w:rsidR="00451D3D" w:rsidRPr="00DD3199" w:rsidRDefault="00451D3D" w:rsidP="000975F2">
            <w:pPr>
              <w:pStyle w:val="TAC"/>
            </w:pPr>
          </w:p>
        </w:tc>
        <w:tc>
          <w:tcPr>
            <w:tcW w:w="1473" w:type="dxa"/>
            <w:vMerge/>
            <w:tcBorders>
              <w:left w:val="single" w:sz="4" w:space="0" w:color="auto"/>
              <w:bottom w:val="single" w:sz="4" w:space="0" w:color="auto"/>
              <w:right w:val="single" w:sz="4" w:space="0" w:color="auto"/>
            </w:tcBorders>
          </w:tcPr>
          <w:p w:rsidR="00451D3D" w:rsidRPr="00DD3199" w:rsidRDefault="00451D3D" w:rsidP="000975F2">
            <w:pPr>
              <w:pStyle w:val="TAC"/>
            </w:pPr>
          </w:p>
        </w:tc>
        <w:tc>
          <w:tcPr>
            <w:tcW w:w="1304" w:type="dxa"/>
            <w:tcBorders>
              <w:left w:val="single" w:sz="4" w:space="0" w:color="auto"/>
              <w:right w:val="single" w:sz="4" w:space="0" w:color="auto"/>
            </w:tcBorders>
          </w:tcPr>
          <w:p w:rsidR="00451D3D" w:rsidRDefault="00451D3D" w:rsidP="000975F2">
            <w:pPr>
              <w:pStyle w:val="TAC"/>
              <w:rPr>
                <w:lang w:val="fr-FR"/>
              </w:rPr>
            </w:pPr>
            <w:r>
              <w:rPr>
                <w:rFonts w:hint="eastAsia"/>
                <w:lang w:val="fr-FR"/>
              </w:rPr>
              <w:t>900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r>
      <w:tr w:rsidR="00451D3D" w:rsidTr="000975F2">
        <w:trPr>
          <w:trHeight w:val="101"/>
          <w:jc w:val="center"/>
        </w:trPr>
        <w:tc>
          <w:tcPr>
            <w:tcW w:w="649" w:type="dxa"/>
            <w:vMerge w:val="restart"/>
            <w:tcBorders>
              <w:top w:val="single" w:sz="4" w:space="0" w:color="auto"/>
              <w:left w:val="single" w:sz="4" w:space="0" w:color="auto"/>
              <w:right w:val="single" w:sz="4" w:space="0" w:color="auto"/>
            </w:tcBorders>
            <w:hideMark/>
          </w:tcPr>
          <w:p w:rsidR="00451D3D" w:rsidRPr="00DD3199" w:rsidRDefault="00451D3D" w:rsidP="000975F2">
            <w:pPr>
              <w:pStyle w:val="TAC"/>
            </w:pPr>
            <w:r w:rsidRPr="00DD3199">
              <w:t>2</w:t>
            </w:r>
          </w:p>
        </w:tc>
        <w:tc>
          <w:tcPr>
            <w:tcW w:w="1473" w:type="dxa"/>
            <w:vMerge w:val="restart"/>
            <w:tcBorders>
              <w:top w:val="single" w:sz="4" w:space="0" w:color="auto"/>
              <w:left w:val="single" w:sz="4" w:space="0" w:color="auto"/>
              <w:right w:val="single" w:sz="4" w:space="0" w:color="auto"/>
            </w:tcBorders>
            <w:hideMark/>
          </w:tcPr>
          <w:p w:rsidR="00451D3D" w:rsidRPr="00DD3199" w:rsidRDefault="00451D3D" w:rsidP="000975F2">
            <w:pPr>
              <w:pStyle w:val="TAC"/>
            </w:pPr>
            <w:r w:rsidRPr="00DD3199">
              <w:t>0.25</w:t>
            </w:r>
          </w:p>
        </w:tc>
        <w:tc>
          <w:tcPr>
            <w:tcW w:w="1304" w:type="dxa"/>
            <w:tcBorders>
              <w:left w:val="single" w:sz="4" w:space="0" w:color="auto"/>
              <w:right w:val="single" w:sz="4" w:space="0" w:color="auto"/>
            </w:tcBorders>
          </w:tcPr>
          <w:p w:rsidR="00451D3D" w:rsidRDefault="00451D3D" w:rsidP="000975F2">
            <w:pPr>
              <w:pStyle w:val="TAC"/>
              <w:rPr>
                <w:lang w:val="fr-FR"/>
              </w:rPr>
            </w:pPr>
            <w:r>
              <w:rPr>
                <w:lang w:val="fr-FR"/>
              </w:rPr>
              <w:t>200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3</w:t>
            </w:r>
          </w:p>
        </w:tc>
      </w:tr>
      <w:tr w:rsidR="00451D3D" w:rsidTr="000975F2">
        <w:trPr>
          <w:trHeight w:val="100"/>
          <w:jc w:val="center"/>
        </w:trPr>
        <w:tc>
          <w:tcPr>
            <w:tcW w:w="649" w:type="dxa"/>
            <w:vMerge/>
            <w:tcBorders>
              <w:left w:val="single" w:sz="4" w:space="0" w:color="auto"/>
              <w:right w:val="single" w:sz="4" w:space="0" w:color="auto"/>
            </w:tcBorders>
          </w:tcPr>
          <w:p w:rsidR="00451D3D" w:rsidRPr="00DD3199" w:rsidRDefault="00451D3D" w:rsidP="000975F2">
            <w:pPr>
              <w:pStyle w:val="TAC"/>
            </w:pPr>
          </w:p>
        </w:tc>
        <w:tc>
          <w:tcPr>
            <w:tcW w:w="1473" w:type="dxa"/>
            <w:vMerge/>
            <w:tcBorders>
              <w:left w:val="single" w:sz="4" w:space="0" w:color="auto"/>
              <w:right w:val="single" w:sz="4" w:space="0" w:color="auto"/>
            </w:tcBorders>
          </w:tcPr>
          <w:p w:rsidR="00451D3D" w:rsidRPr="00DD3199" w:rsidRDefault="00451D3D" w:rsidP="000975F2">
            <w:pPr>
              <w:pStyle w:val="TAC"/>
            </w:pPr>
          </w:p>
        </w:tc>
        <w:tc>
          <w:tcPr>
            <w:tcW w:w="1304" w:type="dxa"/>
            <w:tcBorders>
              <w:left w:val="single" w:sz="4" w:space="0" w:color="auto"/>
              <w:right w:val="single" w:sz="4" w:space="0" w:color="auto"/>
            </w:tcBorders>
          </w:tcPr>
          <w:p w:rsidR="00451D3D" w:rsidRDefault="00451D3D" w:rsidP="000975F2">
            <w:pPr>
              <w:pStyle w:val="TAC"/>
              <w:rPr>
                <w:lang w:val="fr-FR"/>
              </w:rPr>
            </w:pPr>
            <w:r>
              <w:rPr>
                <w:rFonts w:hint="eastAsia"/>
                <w:lang w:val="fr-FR"/>
              </w:rPr>
              <w:t>500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5</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r>
      <w:tr w:rsidR="00451D3D" w:rsidTr="000975F2">
        <w:trPr>
          <w:trHeight w:val="100"/>
          <w:jc w:val="center"/>
        </w:trPr>
        <w:tc>
          <w:tcPr>
            <w:tcW w:w="649" w:type="dxa"/>
            <w:vMerge/>
            <w:tcBorders>
              <w:left w:val="single" w:sz="4" w:space="0" w:color="auto"/>
              <w:right w:val="single" w:sz="4" w:space="0" w:color="auto"/>
            </w:tcBorders>
          </w:tcPr>
          <w:p w:rsidR="00451D3D" w:rsidRPr="00DD3199" w:rsidRDefault="00451D3D" w:rsidP="000975F2">
            <w:pPr>
              <w:pStyle w:val="TAC"/>
            </w:pPr>
          </w:p>
        </w:tc>
        <w:tc>
          <w:tcPr>
            <w:tcW w:w="1473" w:type="dxa"/>
            <w:vMerge/>
            <w:tcBorders>
              <w:left w:val="single" w:sz="4" w:space="0" w:color="auto"/>
              <w:bottom w:val="single" w:sz="4" w:space="0" w:color="auto"/>
              <w:right w:val="single" w:sz="4" w:space="0" w:color="auto"/>
            </w:tcBorders>
          </w:tcPr>
          <w:p w:rsidR="00451D3D" w:rsidRPr="00DD3199" w:rsidRDefault="00451D3D" w:rsidP="000975F2">
            <w:pPr>
              <w:pStyle w:val="TAC"/>
            </w:pPr>
          </w:p>
        </w:tc>
        <w:tc>
          <w:tcPr>
            <w:tcW w:w="1304" w:type="dxa"/>
            <w:tcBorders>
              <w:left w:val="single" w:sz="4" w:space="0" w:color="auto"/>
              <w:right w:val="single" w:sz="4" w:space="0" w:color="auto"/>
            </w:tcBorders>
          </w:tcPr>
          <w:p w:rsidR="00451D3D" w:rsidRDefault="00451D3D" w:rsidP="000975F2">
            <w:pPr>
              <w:pStyle w:val="TAC"/>
              <w:rPr>
                <w:lang w:val="fr-FR"/>
              </w:rPr>
            </w:pPr>
            <w:r>
              <w:rPr>
                <w:rFonts w:hint="eastAsia"/>
                <w:lang w:val="fr-FR"/>
              </w:rPr>
              <w:t>900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7</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6</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6</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5</w:t>
            </w:r>
          </w:p>
        </w:tc>
      </w:tr>
      <w:tr w:rsidR="00451D3D" w:rsidTr="000975F2">
        <w:trPr>
          <w:trHeight w:val="101"/>
          <w:jc w:val="center"/>
        </w:trPr>
        <w:tc>
          <w:tcPr>
            <w:tcW w:w="649" w:type="dxa"/>
            <w:vMerge w:val="restart"/>
            <w:tcBorders>
              <w:top w:val="single" w:sz="4" w:space="0" w:color="auto"/>
              <w:left w:val="single" w:sz="4" w:space="0" w:color="auto"/>
              <w:right w:val="single" w:sz="4" w:space="0" w:color="auto"/>
            </w:tcBorders>
            <w:hideMark/>
          </w:tcPr>
          <w:p w:rsidR="00451D3D" w:rsidRPr="00DD3199" w:rsidRDefault="00451D3D" w:rsidP="000975F2">
            <w:pPr>
              <w:pStyle w:val="TAC"/>
            </w:pPr>
            <w:r w:rsidRPr="00DD3199">
              <w:t>3</w:t>
            </w:r>
          </w:p>
        </w:tc>
        <w:tc>
          <w:tcPr>
            <w:tcW w:w="1473" w:type="dxa"/>
            <w:vMerge w:val="restart"/>
            <w:tcBorders>
              <w:top w:val="single" w:sz="4" w:space="0" w:color="auto"/>
              <w:left w:val="single" w:sz="4" w:space="0" w:color="auto"/>
              <w:right w:val="single" w:sz="4" w:space="0" w:color="auto"/>
            </w:tcBorders>
            <w:hideMark/>
          </w:tcPr>
          <w:p w:rsidR="00451D3D" w:rsidRPr="00DD3199" w:rsidRDefault="00451D3D" w:rsidP="000975F2">
            <w:pPr>
              <w:pStyle w:val="TAC"/>
            </w:pPr>
            <w:r w:rsidRPr="00DD3199">
              <w:t>0.125</w:t>
            </w:r>
          </w:p>
        </w:tc>
        <w:tc>
          <w:tcPr>
            <w:tcW w:w="1304" w:type="dxa"/>
            <w:tcBorders>
              <w:left w:val="single" w:sz="4" w:space="0" w:color="auto"/>
              <w:right w:val="single" w:sz="4" w:space="0" w:color="auto"/>
            </w:tcBorders>
          </w:tcPr>
          <w:p w:rsidR="00451D3D" w:rsidRDefault="00451D3D" w:rsidP="000975F2">
            <w:pPr>
              <w:pStyle w:val="TAC"/>
              <w:rPr>
                <w:lang w:val="fr-FR"/>
              </w:rPr>
            </w:pPr>
            <w:r>
              <w:rPr>
                <w:lang w:val="fr-FR"/>
              </w:rPr>
              <w:t>200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7</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5</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4</w:t>
            </w:r>
          </w:p>
        </w:tc>
      </w:tr>
      <w:tr w:rsidR="00451D3D" w:rsidTr="000975F2">
        <w:trPr>
          <w:trHeight w:val="100"/>
          <w:jc w:val="center"/>
        </w:trPr>
        <w:tc>
          <w:tcPr>
            <w:tcW w:w="649" w:type="dxa"/>
            <w:vMerge/>
            <w:tcBorders>
              <w:left w:val="single" w:sz="4" w:space="0" w:color="auto"/>
              <w:right w:val="single" w:sz="4" w:space="0" w:color="auto"/>
            </w:tcBorders>
          </w:tcPr>
          <w:p w:rsidR="00451D3D" w:rsidRPr="00DD3199" w:rsidRDefault="00451D3D" w:rsidP="000975F2">
            <w:pPr>
              <w:pStyle w:val="TAC"/>
            </w:pPr>
          </w:p>
        </w:tc>
        <w:tc>
          <w:tcPr>
            <w:tcW w:w="1473" w:type="dxa"/>
            <w:vMerge/>
            <w:tcBorders>
              <w:left w:val="single" w:sz="4" w:space="0" w:color="auto"/>
              <w:right w:val="single" w:sz="4" w:space="0" w:color="auto"/>
            </w:tcBorders>
          </w:tcPr>
          <w:p w:rsidR="00451D3D" w:rsidRPr="00DD3199" w:rsidRDefault="00451D3D" w:rsidP="000975F2">
            <w:pPr>
              <w:pStyle w:val="TAC"/>
            </w:pPr>
          </w:p>
        </w:tc>
        <w:tc>
          <w:tcPr>
            <w:tcW w:w="1304" w:type="dxa"/>
            <w:tcBorders>
              <w:left w:val="single" w:sz="4" w:space="0" w:color="auto"/>
              <w:right w:val="single" w:sz="4" w:space="0" w:color="auto"/>
            </w:tcBorders>
          </w:tcPr>
          <w:p w:rsidR="00451D3D" w:rsidRDefault="00451D3D" w:rsidP="000975F2">
            <w:pPr>
              <w:pStyle w:val="TAC"/>
              <w:rPr>
                <w:lang w:val="fr-FR"/>
              </w:rPr>
            </w:pPr>
            <w:r>
              <w:rPr>
                <w:rFonts w:hint="eastAsia"/>
                <w:lang w:val="fr-FR"/>
              </w:rPr>
              <w:t>500</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9</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7</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6</w:t>
            </w:r>
          </w:p>
        </w:tc>
        <w:tc>
          <w:tcPr>
            <w:tcW w:w="1304" w:type="dxa"/>
            <w:tcBorders>
              <w:left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6</w:t>
            </w:r>
          </w:p>
        </w:tc>
      </w:tr>
      <w:tr w:rsidR="00451D3D" w:rsidTr="000975F2">
        <w:trPr>
          <w:trHeight w:val="100"/>
          <w:jc w:val="center"/>
        </w:trPr>
        <w:tc>
          <w:tcPr>
            <w:tcW w:w="649" w:type="dxa"/>
            <w:vMerge/>
            <w:tcBorders>
              <w:left w:val="single" w:sz="4" w:space="0" w:color="auto"/>
              <w:bottom w:val="single" w:sz="4" w:space="0" w:color="auto"/>
              <w:right w:val="single" w:sz="4" w:space="0" w:color="auto"/>
            </w:tcBorders>
          </w:tcPr>
          <w:p w:rsidR="00451D3D" w:rsidRPr="00DD3199" w:rsidRDefault="00451D3D" w:rsidP="000975F2">
            <w:pPr>
              <w:pStyle w:val="TAC"/>
            </w:pPr>
          </w:p>
        </w:tc>
        <w:tc>
          <w:tcPr>
            <w:tcW w:w="1473" w:type="dxa"/>
            <w:vMerge/>
            <w:tcBorders>
              <w:left w:val="single" w:sz="4" w:space="0" w:color="auto"/>
              <w:bottom w:val="single" w:sz="4" w:space="0" w:color="auto"/>
              <w:right w:val="single" w:sz="4" w:space="0" w:color="auto"/>
            </w:tcBorders>
          </w:tcPr>
          <w:p w:rsidR="00451D3D" w:rsidRPr="00DD3199" w:rsidRDefault="00451D3D" w:rsidP="000975F2">
            <w:pPr>
              <w:pStyle w:val="TAC"/>
            </w:pPr>
          </w:p>
        </w:tc>
        <w:tc>
          <w:tcPr>
            <w:tcW w:w="1304" w:type="dxa"/>
            <w:tcBorders>
              <w:left w:val="single" w:sz="4" w:space="0" w:color="auto"/>
              <w:bottom w:val="single" w:sz="4" w:space="0" w:color="auto"/>
              <w:right w:val="single" w:sz="4" w:space="0" w:color="auto"/>
            </w:tcBorders>
          </w:tcPr>
          <w:p w:rsidR="00451D3D" w:rsidRDefault="00451D3D" w:rsidP="000975F2">
            <w:pPr>
              <w:pStyle w:val="TAC"/>
              <w:rPr>
                <w:lang w:val="fr-FR"/>
              </w:rPr>
            </w:pPr>
            <w:r>
              <w:rPr>
                <w:rFonts w:hint="eastAsia"/>
                <w:lang w:val="fr-FR"/>
              </w:rPr>
              <w:t>900</w:t>
            </w:r>
          </w:p>
        </w:tc>
        <w:tc>
          <w:tcPr>
            <w:tcW w:w="1304" w:type="dxa"/>
            <w:tcBorders>
              <w:left w:val="single" w:sz="4" w:space="0" w:color="auto"/>
              <w:bottom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12</w:t>
            </w:r>
          </w:p>
        </w:tc>
        <w:tc>
          <w:tcPr>
            <w:tcW w:w="1304" w:type="dxa"/>
            <w:tcBorders>
              <w:left w:val="single" w:sz="4" w:space="0" w:color="auto"/>
              <w:bottom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10</w:t>
            </w:r>
          </w:p>
        </w:tc>
        <w:tc>
          <w:tcPr>
            <w:tcW w:w="1304" w:type="dxa"/>
            <w:tcBorders>
              <w:left w:val="single" w:sz="4" w:space="0" w:color="auto"/>
              <w:bottom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10</w:t>
            </w:r>
          </w:p>
        </w:tc>
        <w:tc>
          <w:tcPr>
            <w:tcW w:w="1304" w:type="dxa"/>
            <w:tcBorders>
              <w:left w:val="single" w:sz="4" w:space="0" w:color="auto"/>
              <w:bottom w:val="single" w:sz="4" w:space="0" w:color="auto"/>
              <w:right w:val="single" w:sz="4" w:space="0" w:color="auto"/>
            </w:tcBorders>
            <w:vAlign w:val="bottom"/>
          </w:tcPr>
          <w:p w:rsidR="00451D3D" w:rsidRPr="00FC2972" w:rsidRDefault="00451D3D" w:rsidP="000975F2">
            <w:pPr>
              <w:pStyle w:val="af2"/>
              <w:spacing w:before="0" w:beforeAutospacing="0" w:after="0" w:afterAutospacing="0"/>
              <w:jc w:val="center"/>
              <w:rPr>
                <w:rFonts w:ascii="Arial" w:hAnsi="Arial" w:cs="Arial"/>
                <w:sz w:val="18"/>
                <w:szCs w:val="18"/>
              </w:rPr>
            </w:pPr>
            <w:r w:rsidRPr="00FC2972">
              <w:rPr>
                <w:rFonts w:ascii="Arial" w:hAnsi="Arial" w:cs="Arial"/>
                <w:color w:val="000000" w:themeColor="text1"/>
                <w:kern w:val="24"/>
                <w:sz w:val="18"/>
                <w:szCs w:val="18"/>
              </w:rPr>
              <w:t>9</w:t>
            </w:r>
          </w:p>
        </w:tc>
      </w:tr>
    </w:tbl>
    <w:p w:rsidR="00451D3D" w:rsidRDefault="00451D3D" w:rsidP="00451D3D">
      <w:pPr>
        <w:rPr>
          <w:lang w:val="en-US"/>
        </w:rPr>
      </w:pPr>
    </w:p>
    <w:p w:rsidR="00451D3D" w:rsidRDefault="00451D3D" w:rsidP="00451D3D">
      <w:pPr>
        <w:rPr>
          <w:rFonts w:cs="v4.2.0"/>
          <w:b/>
          <w:i/>
        </w:rPr>
      </w:pPr>
      <w:r w:rsidRPr="00D554B6">
        <w:rPr>
          <w:rFonts w:cs="v4.2.0" w:hint="eastAsia"/>
          <w:b/>
          <w:i/>
        </w:rPr>
        <w:t xml:space="preserve">Proposal </w:t>
      </w:r>
      <w:r>
        <w:rPr>
          <w:rFonts w:cs="v4.2.0"/>
          <w:b/>
          <w:i/>
        </w:rPr>
        <w:t>3</w:t>
      </w:r>
      <w:r w:rsidRPr="00D554B6">
        <w:rPr>
          <w:rFonts w:cs="v4.2.0" w:hint="eastAsia"/>
          <w:b/>
          <w:i/>
        </w:rPr>
        <w:t>.</w:t>
      </w:r>
      <w:r w:rsidRPr="003B485E">
        <w:rPr>
          <w:rFonts w:cs="v4.2.0" w:hint="eastAsia"/>
          <w:b/>
          <w:i/>
        </w:rPr>
        <w:t xml:space="preserve"> </w:t>
      </w:r>
      <w:r w:rsidRPr="003B485E">
        <w:rPr>
          <w:b/>
          <w:i/>
          <w:lang w:val="en-US"/>
        </w:rPr>
        <w:t>In EN-DC, NE-D</w:t>
      </w:r>
      <w:r>
        <w:rPr>
          <w:b/>
          <w:i/>
          <w:lang w:val="en-US"/>
        </w:rPr>
        <w:t>C,</w:t>
      </w:r>
      <w:r w:rsidRPr="003B485E">
        <w:rPr>
          <w:b/>
          <w:i/>
          <w:lang w:val="en-US"/>
        </w:rPr>
        <w:t xml:space="preserve"> </w:t>
      </w:r>
      <w:r>
        <w:rPr>
          <w:b/>
          <w:i/>
          <w:lang w:val="en-US"/>
        </w:rPr>
        <w:t>i</w:t>
      </w:r>
      <w:r w:rsidRPr="003B485E">
        <w:rPr>
          <w:b/>
          <w:i/>
          <w:lang w:val="en-US"/>
        </w:rPr>
        <w:t xml:space="preserve">nterruption length on </w:t>
      </w:r>
      <w:r>
        <w:rPr>
          <w:b/>
          <w:i/>
          <w:lang w:val="en-US"/>
        </w:rPr>
        <w:t>LTE</w:t>
      </w:r>
      <w:r w:rsidRPr="003B485E">
        <w:rPr>
          <w:b/>
          <w:i/>
          <w:lang w:val="en-US"/>
        </w:rPr>
        <w:t xml:space="preserve"> victim cells during NR SRS carrier switching </w:t>
      </w:r>
      <w:r w:rsidRPr="003B485E">
        <w:rPr>
          <w:rFonts w:cs="v4.2.0"/>
          <w:b/>
          <w:i/>
        </w:rPr>
        <w:t xml:space="preserve">is </w:t>
      </w:r>
      <w:r>
        <w:rPr>
          <w:rFonts w:cs="v4.2.0"/>
          <w:b/>
          <w:i/>
        </w:rPr>
        <w:t>2 subframes, 2 subframes and 3 subframes for 200us, 500us and 900us NR SRS carrier switching time respectively</w:t>
      </w:r>
      <w:r w:rsidRPr="003B485E">
        <w:rPr>
          <w:rFonts w:cs="v4.2.0"/>
          <w:b/>
          <w:i/>
        </w:rPr>
        <w:t>.</w:t>
      </w:r>
    </w:p>
    <w:p w:rsidR="00451D3D" w:rsidRDefault="00451D3D" w:rsidP="00451D3D">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In EN-DC and NE-DC, the interruption requirements are specified for 500us LTE SRS carrier switching time only.</w:t>
      </w:r>
    </w:p>
    <w:p w:rsidR="00451D3D" w:rsidRDefault="00451D3D" w:rsidP="00451D3D">
      <w:pPr>
        <w:rPr>
          <w:rFonts w:cs="v4.2.0"/>
          <w:b/>
          <w:i/>
        </w:rPr>
      </w:pPr>
      <w:r w:rsidRPr="00D554B6">
        <w:rPr>
          <w:rFonts w:cs="v4.2.0" w:hint="eastAsia"/>
          <w:b/>
          <w:i/>
        </w:rPr>
        <w:t xml:space="preserve">Proposal </w:t>
      </w:r>
      <w:r>
        <w:rPr>
          <w:rFonts w:cs="v4.2.0"/>
          <w:b/>
          <w:i/>
        </w:rPr>
        <w:t>5</w:t>
      </w:r>
      <w:r w:rsidRPr="00D554B6">
        <w:rPr>
          <w:rFonts w:cs="v4.2.0" w:hint="eastAsia"/>
          <w:b/>
          <w:i/>
        </w:rPr>
        <w:t xml:space="preserve">. </w:t>
      </w:r>
      <w:r>
        <w:rPr>
          <w:rFonts w:cs="v4.2.0"/>
          <w:b/>
          <w:i/>
        </w:rPr>
        <w:t xml:space="preserve">In EN-DC and NE-DC, </w:t>
      </w:r>
      <w:r>
        <w:rPr>
          <w:b/>
          <w:i/>
          <w:lang w:val="en-US"/>
        </w:rPr>
        <w:t>i</w:t>
      </w:r>
      <w:r w:rsidRPr="003B485E">
        <w:rPr>
          <w:b/>
          <w:i/>
          <w:lang w:val="en-US"/>
        </w:rPr>
        <w:t xml:space="preserve">nterruption length on </w:t>
      </w:r>
      <w:r>
        <w:rPr>
          <w:b/>
          <w:i/>
          <w:lang w:val="en-US"/>
        </w:rPr>
        <w:t>NR</w:t>
      </w:r>
      <w:r w:rsidRPr="003B485E">
        <w:rPr>
          <w:b/>
          <w:i/>
          <w:lang w:val="en-US"/>
        </w:rPr>
        <w:t xml:space="preserve"> victim cells during NR SRS carrier switching </w:t>
      </w:r>
      <w:r>
        <w:rPr>
          <w:b/>
          <w:i/>
          <w:lang w:val="en-US"/>
        </w:rPr>
        <w:t>are as in Table 3.</w:t>
      </w:r>
    </w:p>
    <w:p w:rsidR="00451D3D" w:rsidRPr="003B485E" w:rsidRDefault="00451D3D" w:rsidP="00451D3D">
      <w:pPr>
        <w:jc w:val="center"/>
        <w:rPr>
          <w:lang w:val="en-US"/>
        </w:rPr>
      </w:pPr>
      <w:r>
        <w:rPr>
          <w:lang w:val="en-US"/>
        </w:rPr>
        <w:t>Table 2. Interruption length on NR victim cell during LTE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51D3D" w:rsidRPr="00DD3199" w:rsidTr="000975F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51D3D" w:rsidRPr="00DD3199" w:rsidRDefault="00451D3D" w:rsidP="000975F2">
            <w:pPr>
              <w:pStyle w:val="TAH"/>
            </w:pPr>
            <w:r w:rsidRPr="00DD3199">
              <w:rPr>
                <w:noProof/>
                <w:lang w:val="en-US"/>
              </w:rPr>
              <w:drawing>
                <wp:inline distT="0" distB="0" distL="0" distR="0" wp14:anchorId="7BB595B2" wp14:editId="003CCA59">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H"/>
            </w:pPr>
            <w:r>
              <w:t>Interruption length X (slots)</w:t>
            </w:r>
          </w:p>
        </w:tc>
      </w:tr>
      <w:tr w:rsidR="00451D3D" w:rsidRPr="00DD3199" w:rsidTr="000975F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1D3D" w:rsidRPr="00DD3199" w:rsidRDefault="00451D3D" w:rsidP="00097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1D3D" w:rsidRPr="00DD3199" w:rsidRDefault="00451D3D" w:rsidP="00097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1D3D" w:rsidRPr="00DD3199" w:rsidRDefault="00451D3D" w:rsidP="000975F2">
            <w:pPr>
              <w:spacing w:after="0"/>
              <w:rPr>
                <w:rFonts w:ascii="Arial" w:hAnsi="Arial"/>
                <w:b/>
                <w:sz w:val="18"/>
              </w:rPr>
            </w:pPr>
          </w:p>
        </w:tc>
      </w:tr>
      <w:tr w:rsidR="00451D3D" w:rsidRPr="00DD3199" w:rsidTr="000975F2">
        <w:trPr>
          <w:jc w:val="center"/>
        </w:trPr>
        <w:tc>
          <w:tcPr>
            <w:tcW w:w="852"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t>2</w:t>
            </w:r>
          </w:p>
        </w:tc>
      </w:tr>
      <w:tr w:rsidR="00451D3D" w:rsidRPr="00DD3199" w:rsidTr="000975F2">
        <w:trPr>
          <w:jc w:val="center"/>
        </w:trPr>
        <w:tc>
          <w:tcPr>
            <w:tcW w:w="852"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t>3</w:t>
            </w:r>
          </w:p>
        </w:tc>
      </w:tr>
      <w:tr w:rsidR="00451D3D" w:rsidRPr="00DD3199" w:rsidTr="000975F2">
        <w:trPr>
          <w:jc w:val="center"/>
        </w:trPr>
        <w:tc>
          <w:tcPr>
            <w:tcW w:w="852"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t>5</w:t>
            </w:r>
          </w:p>
        </w:tc>
      </w:tr>
      <w:tr w:rsidR="00451D3D" w:rsidRPr="00DD3199" w:rsidTr="000975F2">
        <w:trPr>
          <w:jc w:val="center"/>
        </w:trPr>
        <w:tc>
          <w:tcPr>
            <w:tcW w:w="852"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451D3D" w:rsidRPr="00DD3199" w:rsidRDefault="00451D3D" w:rsidP="000975F2">
            <w:pPr>
              <w:pStyle w:val="TAC"/>
            </w:pPr>
            <w:r>
              <w:t>9</w:t>
            </w:r>
          </w:p>
        </w:tc>
      </w:tr>
    </w:tbl>
    <w:p w:rsidR="00451D3D" w:rsidRPr="00631141" w:rsidRDefault="00451D3D" w:rsidP="00451D3D"/>
    <w:p w:rsidR="00451D3D" w:rsidRDefault="00451D3D" w:rsidP="00451D3D">
      <w:pPr>
        <w:rPr>
          <w:rFonts w:cs="v4.2.0"/>
          <w:b/>
          <w:i/>
        </w:rPr>
      </w:pPr>
      <w:r w:rsidRPr="00D554B6">
        <w:rPr>
          <w:rFonts w:cs="v4.2.0" w:hint="eastAsia"/>
          <w:b/>
          <w:i/>
        </w:rPr>
        <w:t xml:space="preserve">Proposal </w:t>
      </w:r>
      <w:r>
        <w:rPr>
          <w:rFonts w:cs="v4.2.0"/>
          <w:b/>
          <w:i/>
        </w:rPr>
        <w:t>6</w:t>
      </w:r>
      <w:r w:rsidRPr="00D554B6">
        <w:rPr>
          <w:rFonts w:cs="v4.2.0" w:hint="eastAsia"/>
          <w:b/>
          <w:i/>
        </w:rPr>
        <w:t>.</w:t>
      </w:r>
      <w:r w:rsidRPr="003B485E">
        <w:rPr>
          <w:rFonts w:cs="v4.2.0" w:hint="eastAsia"/>
          <w:b/>
          <w:i/>
        </w:rPr>
        <w:t xml:space="preserve"> </w:t>
      </w:r>
      <w:r w:rsidRPr="003B485E">
        <w:rPr>
          <w:b/>
          <w:i/>
          <w:lang w:val="en-US"/>
        </w:rPr>
        <w:t>In EN-DC, NE-D</w:t>
      </w:r>
      <w:r>
        <w:rPr>
          <w:b/>
          <w:i/>
          <w:lang w:val="en-US"/>
        </w:rPr>
        <w:t>C,</w:t>
      </w:r>
      <w:r w:rsidRPr="003B485E">
        <w:rPr>
          <w:b/>
          <w:i/>
          <w:lang w:val="en-US"/>
        </w:rPr>
        <w:t xml:space="preserve"> </w:t>
      </w:r>
      <w:r>
        <w:rPr>
          <w:b/>
          <w:i/>
          <w:lang w:val="en-US"/>
        </w:rPr>
        <w:t>i</w:t>
      </w:r>
      <w:r w:rsidRPr="003B485E">
        <w:rPr>
          <w:b/>
          <w:i/>
          <w:lang w:val="en-US"/>
        </w:rPr>
        <w:t xml:space="preserve">nterruption length on </w:t>
      </w:r>
      <w:r>
        <w:rPr>
          <w:b/>
          <w:i/>
          <w:lang w:val="en-US"/>
        </w:rPr>
        <w:t>LTE</w:t>
      </w:r>
      <w:r w:rsidRPr="003B485E">
        <w:rPr>
          <w:b/>
          <w:i/>
          <w:lang w:val="en-US"/>
        </w:rPr>
        <w:t xml:space="preserve"> victim cells during </w:t>
      </w:r>
      <w:r>
        <w:rPr>
          <w:b/>
          <w:i/>
          <w:lang w:val="en-US"/>
        </w:rPr>
        <w:t>LTE</w:t>
      </w:r>
      <w:r w:rsidRPr="003B485E">
        <w:rPr>
          <w:b/>
          <w:i/>
          <w:lang w:val="en-US"/>
        </w:rPr>
        <w:t xml:space="preserve"> SRS carrier switching </w:t>
      </w:r>
      <w:r w:rsidRPr="003B485E">
        <w:rPr>
          <w:rFonts w:cs="v4.2.0"/>
          <w:b/>
          <w:i/>
        </w:rPr>
        <w:t xml:space="preserve">is </w:t>
      </w:r>
      <w:r>
        <w:rPr>
          <w:rFonts w:cs="v4.2.0"/>
          <w:b/>
          <w:i/>
        </w:rPr>
        <w:t>2 subframes</w:t>
      </w:r>
      <w:r w:rsidRPr="003B485E">
        <w:rPr>
          <w:rFonts w:cs="v4.2.0"/>
          <w:b/>
          <w:i/>
        </w:rPr>
        <w:t>.</w:t>
      </w:r>
    </w:p>
    <w:p w:rsidR="00451D3D" w:rsidRPr="00233982" w:rsidRDefault="00451D3D" w:rsidP="00451D3D">
      <w:pPr>
        <w:rPr>
          <w:rFonts w:cs="v4.2.0"/>
          <w:b/>
          <w:i/>
        </w:rPr>
      </w:pPr>
      <w:r w:rsidRPr="00233982">
        <w:rPr>
          <w:rFonts w:cs="v4.2.0" w:hint="eastAsia"/>
          <w:b/>
          <w:i/>
        </w:rPr>
        <w:t xml:space="preserve">Proposal </w:t>
      </w:r>
      <w:r>
        <w:rPr>
          <w:rFonts w:cs="v4.2.0"/>
          <w:b/>
          <w:i/>
        </w:rPr>
        <w:t>7</w:t>
      </w:r>
      <w:r w:rsidRPr="00233982">
        <w:rPr>
          <w:rFonts w:cs="v4.2.0" w:hint="eastAsia"/>
          <w:b/>
          <w:i/>
        </w:rPr>
        <w:t>.</w:t>
      </w:r>
      <w:r w:rsidRPr="00B211C6">
        <w:rPr>
          <w:rFonts w:cs="v4.2.0" w:hint="eastAsia"/>
          <w:b/>
          <w:i/>
        </w:rPr>
        <w:t xml:space="preserve"> </w:t>
      </w:r>
      <w:r w:rsidRPr="00B211C6">
        <w:rPr>
          <w:b/>
          <w:i/>
          <w:color w:val="000000"/>
          <w:szCs w:val="22"/>
          <w:lang w:val="en-US"/>
        </w:rPr>
        <w:t>In EN-DC, NE-DC, NR-DC and NR SA operation, requirements relevant to measurements on SSB/PBCH</w:t>
      </w:r>
      <w:r w:rsidRPr="00B211C6">
        <w:rPr>
          <w:b/>
          <w:i/>
          <w:color w:val="000000"/>
          <w:szCs w:val="22"/>
        </w:rPr>
        <w:t>/CSI-RS</w:t>
      </w:r>
      <w:r w:rsidRPr="00B211C6">
        <w:rPr>
          <w:b/>
          <w:i/>
          <w:color w:val="000000"/>
          <w:szCs w:val="22"/>
          <w:lang w:val="en-US"/>
        </w:rPr>
        <w:t xml:space="preserve"> are NOT impacted due to NR SRS carrier switching</w:t>
      </w:r>
      <w:r w:rsidRPr="00233982">
        <w:rPr>
          <w:rFonts w:cs="v4.2.0"/>
          <w:b/>
          <w:i/>
        </w:rPr>
        <w:t>.</w:t>
      </w:r>
    </w:p>
    <w:p w:rsidR="00451D3D" w:rsidRPr="00233982" w:rsidRDefault="00451D3D" w:rsidP="00451D3D">
      <w:pPr>
        <w:rPr>
          <w:rFonts w:cs="v4.2.0"/>
          <w:b/>
          <w:i/>
        </w:rPr>
      </w:pPr>
      <w:r w:rsidRPr="00233982">
        <w:rPr>
          <w:rFonts w:cs="v4.2.0" w:hint="eastAsia"/>
          <w:b/>
          <w:i/>
        </w:rPr>
        <w:t xml:space="preserve">Proposal </w:t>
      </w:r>
      <w:r>
        <w:rPr>
          <w:rFonts w:cs="v4.2.0"/>
          <w:b/>
          <w:i/>
        </w:rPr>
        <w:t>8</w:t>
      </w:r>
      <w:r w:rsidRPr="00233982">
        <w:rPr>
          <w:rFonts w:cs="v4.2.0" w:hint="eastAsia"/>
          <w:b/>
          <w:i/>
        </w:rPr>
        <w:t xml:space="preserve">. </w:t>
      </w:r>
      <w:r w:rsidRPr="00B211C6">
        <w:rPr>
          <w:b/>
          <w:i/>
          <w:color w:val="000000"/>
          <w:szCs w:val="22"/>
          <w:lang w:val="en-US"/>
        </w:rPr>
        <w:t>In EN-DC and NE-DC operation, requirements relevant to measurements on SSB/PBCH</w:t>
      </w:r>
      <w:r w:rsidRPr="00B211C6">
        <w:rPr>
          <w:b/>
          <w:i/>
          <w:color w:val="000000"/>
          <w:szCs w:val="22"/>
        </w:rPr>
        <w:t>/CSI-RS</w:t>
      </w:r>
      <w:r w:rsidRPr="00B211C6">
        <w:rPr>
          <w:b/>
          <w:i/>
          <w:color w:val="000000"/>
          <w:szCs w:val="22"/>
          <w:lang w:val="en-US"/>
        </w:rPr>
        <w:t xml:space="preserve"> </w:t>
      </w:r>
      <w:r>
        <w:rPr>
          <w:b/>
          <w:i/>
          <w:color w:val="000000"/>
          <w:szCs w:val="22"/>
          <w:lang w:val="en-US"/>
        </w:rPr>
        <w:t>may be</w:t>
      </w:r>
      <w:r w:rsidRPr="00B211C6">
        <w:rPr>
          <w:b/>
          <w:i/>
          <w:color w:val="000000"/>
          <w:szCs w:val="22"/>
          <w:lang w:val="en-US"/>
        </w:rPr>
        <w:t xml:space="preserve"> impacted due to LTE SRS carrier switching</w:t>
      </w:r>
      <w:r>
        <w:rPr>
          <w:b/>
          <w:i/>
          <w:color w:val="000000"/>
          <w:szCs w:val="22"/>
          <w:lang w:val="en-US"/>
        </w:rPr>
        <w:t>.</w:t>
      </w:r>
    </w:p>
    <w:p w:rsidR="00451D3D" w:rsidRPr="00233982" w:rsidRDefault="00451D3D" w:rsidP="00451D3D">
      <w:pPr>
        <w:rPr>
          <w:rFonts w:cs="v4.2.0"/>
          <w:b/>
          <w:i/>
        </w:rPr>
      </w:pPr>
      <w:r w:rsidRPr="00233982">
        <w:rPr>
          <w:rFonts w:cs="v4.2.0" w:hint="eastAsia"/>
          <w:b/>
          <w:i/>
        </w:rPr>
        <w:t xml:space="preserve">Proposal </w:t>
      </w:r>
      <w:r>
        <w:rPr>
          <w:rFonts w:cs="v4.2.0"/>
          <w:b/>
          <w:i/>
        </w:rPr>
        <w:t>9.</w:t>
      </w:r>
      <w:r w:rsidRPr="00B211C6">
        <w:rPr>
          <w:i/>
          <w:color w:val="000000"/>
          <w:szCs w:val="22"/>
          <w:lang w:val="en-US"/>
        </w:rPr>
        <w:t xml:space="preserve"> </w:t>
      </w:r>
      <w:r w:rsidRPr="00B211C6">
        <w:rPr>
          <w:rFonts w:cs="v4.2.0"/>
          <w:b/>
          <w:i/>
        </w:rPr>
        <w:t xml:space="preserve">In EN-DC and NE-DC operation, requirements relevant to E-UTRA measurements </w:t>
      </w:r>
      <w:r>
        <w:rPr>
          <w:rFonts w:cs="v4.2.0"/>
          <w:b/>
          <w:i/>
        </w:rPr>
        <w:t>may be</w:t>
      </w:r>
      <w:r w:rsidRPr="00B211C6">
        <w:rPr>
          <w:rFonts w:cs="v4.2.0"/>
          <w:b/>
          <w:i/>
        </w:rPr>
        <w:t xml:space="preserve"> impacted due to NR SRS carrier switching.</w:t>
      </w:r>
    </w:p>
    <w:p w:rsidR="003754D8" w:rsidRPr="00451D3D" w:rsidRDefault="003754D8" w:rsidP="00A264A4">
      <w:pPr>
        <w:jc w:val="both"/>
      </w:pPr>
    </w:p>
    <w:p w:rsidR="00D807C3" w:rsidRDefault="00D807C3">
      <w:pPr>
        <w:pStyle w:val="2"/>
        <w:jc w:val="both"/>
        <w:rPr>
          <w:sz w:val="24"/>
          <w:szCs w:val="24"/>
          <w:lang w:val="en-US"/>
        </w:rPr>
      </w:pPr>
      <w:r>
        <w:rPr>
          <w:rFonts w:hint="eastAsia"/>
          <w:sz w:val="24"/>
          <w:szCs w:val="24"/>
          <w:lang w:val="en-US"/>
        </w:rPr>
        <w:t>4. References</w:t>
      </w:r>
    </w:p>
    <w:p w:rsidR="004E66A2" w:rsidRDefault="00665C92" w:rsidP="00B61D36">
      <w:pPr>
        <w:numPr>
          <w:ilvl w:val="0"/>
          <w:numId w:val="2"/>
        </w:numPr>
        <w:jc w:val="both"/>
      </w:pPr>
      <w:r w:rsidRPr="00665C92">
        <w:t>R4-1915930</w:t>
      </w:r>
      <w:r w:rsidRPr="00665C92">
        <w:tab/>
        <w:t>Way forward on R16 NR RRM enhancements – SRS carrier switching</w:t>
      </w:r>
      <w:r>
        <w:t>,</w:t>
      </w:r>
      <w:r w:rsidRPr="00665C92">
        <w:t xml:space="preserve"> ZTE</w:t>
      </w:r>
    </w:p>
    <w:p w:rsidR="006B6404" w:rsidRDefault="006B6404" w:rsidP="006B6404">
      <w:pPr>
        <w:numPr>
          <w:ilvl w:val="0"/>
          <w:numId w:val="2"/>
        </w:numPr>
        <w:jc w:val="both"/>
      </w:pPr>
      <w:r w:rsidRPr="00EC7694">
        <w:t>R4</w:t>
      </w:r>
      <w:r w:rsidRPr="007F33F4">
        <w:t>-181</w:t>
      </w:r>
      <w:r>
        <w:t>5938</w:t>
      </w:r>
      <w:r w:rsidRPr="007F33F4">
        <w:t xml:space="preserve"> </w:t>
      </w:r>
      <w:r>
        <w:t xml:space="preserve"> </w:t>
      </w:r>
      <w:r w:rsidRPr="004E66A2">
        <w:t>SRS carrier switching times</w:t>
      </w:r>
      <w:r w:rsidRPr="007F33F4">
        <w:t>,</w:t>
      </w:r>
      <w:r>
        <w:t xml:space="preserve"> Qualcomm</w:t>
      </w:r>
    </w:p>
    <w:p w:rsidR="003E14DB" w:rsidRDefault="003E14DB" w:rsidP="003E14DB">
      <w:pPr>
        <w:numPr>
          <w:ilvl w:val="0"/>
          <w:numId w:val="2"/>
        </w:numPr>
        <w:jc w:val="both"/>
      </w:pPr>
      <w:r w:rsidRPr="00EC7694">
        <w:t>R4</w:t>
      </w:r>
      <w:r w:rsidRPr="007F33F4">
        <w:t>-18</w:t>
      </w:r>
      <w:r>
        <w:t>05660</w:t>
      </w:r>
      <w:r w:rsidRPr="007F33F4">
        <w:t xml:space="preserve"> </w:t>
      </w:r>
      <w:r>
        <w:t xml:space="preserve"> </w:t>
      </w:r>
      <w:r w:rsidRPr="007F33F4">
        <w:t>Reply LS on SRS switching,</w:t>
      </w:r>
      <w:r>
        <w:t xml:space="preserve"> RAN4</w:t>
      </w:r>
    </w:p>
    <w:p w:rsidR="006B6404" w:rsidRPr="003C406F" w:rsidRDefault="006B6404" w:rsidP="00B61D36">
      <w:pPr>
        <w:numPr>
          <w:ilvl w:val="0"/>
          <w:numId w:val="2"/>
        </w:numPr>
        <w:jc w:val="both"/>
      </w:pPr>
    </w:p>
    <w:sectPr w:rsidR="006B6404" w:rsidRPr="003C406F">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1BF" w:rsidRDefault="00CC61BF">
      <w:pPr>
        <w:spacing w:after="0"/>
      </w:pPr>
      <w:r>
        <w:separator/>
      </w:r>
    </w:p>
  </w:endnote>
  <w:endnote w:type="continuationSeparator" w:id="0">
    <w:p w:rsidR="00CC61BF" w:rsidRDefault="00CC61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972" w:rsidRDefault="00FC2972">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1BF" w:rsidRDefault="00CC61BF">
      <w:pPr>
        <w:spacing w:after="0"/>
      </w:pPr>
      <w:r>
        <w:separator/>
      </w:r>
    </w:p>
  </w:footnote>
  <w:footnote w:type="continuationSeparator" w:id="0">
    <w:p w:rsidR="00CC61BF" w:rsidRDefault="00CC61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972" w:rsidRDefault="00FC2972">
    <w:pPr>
      <w:pStyle w:val="aa"/>
      <w:framePr w:wrap="around" w:vAnchor="text" w:hAnchor="margin" w:xAlign="center" w:y="1"/>
      <w:widowControl/>
    </w:pPr>
  </w:p>
  <w:p w:rsidR="00FC2972" w:rsidRDefault="00FC297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30223D40"/>
    <w:multiLevelType w:val="hybridMultilevel"/>
    <w:tmpl w:val="F6D28002"/>
    <w:lvl w:ilvl="0" w:tplc="5F4E91F4">
      <w:start w:val="1"/>
      <w:numFmt w:val="bullet"/>
      <w:lvlText w:val="–"/>
      <w:lvlJc w:val="left"/>
      <w:pPr>
        <w:tabs>
          <w:tab w:val="num" w:pos="720"/>
        </w:tabs>
        <w:ind w:left="720" w:hanging="360"/>
      </w:pPr>
      <w:rPr>
        <w:rFonts w:ascii="Arial" w:hAnsi="Arial" w:hint="default"/>
      </w:rPr>
    </w:lvl>
    <w:lvl w:ilvl="1" w:tplc="A1604BA4">
      <w:start w:val="1"/>
      <w:numFmt w:val="bullet"/>
      <w:lvlText w:val="–"/>
      <w:lvlJc w:val="left"/>
      <w:pPr>
        <w:tabs>
          <w:tab w:val="num" w:pos="1440"/>
        </w:tabs>
        <w:ind w:left="1440" w:hanging="360"/>
      </w:pPr>
      <w:rPr>
        <w:rFonts w:ascii="Arial" w:hAnsi="Arial" w:hint="default"/>
      </w:rPr>
    </w:lvl>
    <w:lvl w:ilvl="2" w:tplc="5E5EA7D4" w:tentative="1">
      <w:start w:val="1"/>
      <w:numFmt w:val="bullet"/>
      <w:lvlText w:val="–"/>
      <w:lvlJc w:val="left"/>
      <w:pPr>
        <w:tabs>
          <w:tab w:val="num" w:pos="2160"/>
        </w:tabs>
        <w:ind w:left="2160" w:hanging="360"/>
      </w:pPr>
      <w:rPr>
        <w:rFonts w:ascii="Arial" w:hAnsi="Arial" w:hint="default"/>
      </w:rPr>
    </w:lvl>
    <w:lvl w:ilvl="3" w:tplc="DB1E9DBA" w:tentative="1">
      <w:start w:val="1"/>
      <w:numFmt w:val="bullet"/>
      <w:lvlText w:val="–"/>
      <w:lvlJc w:val="left"/>
      <w:pPr>
        <w:tabs>
          <w:tab w:val="num" w:pos="2880"/>
        </w:tabs>
        <w:ind w:left="2880" w:hanging="360"/>
      </w:pPr>
      <w:rPr>
        <w:rFonts w:ascii="Arial" w:hAnsi="Arial" w:hint="default"/>
      </w:rPr>
    </w:lvl>
    <w:lvl w:ilvl="4" w:tplc="7A2096CC" w:tentative="1">
      <w:start w:val="1"/>
      <w:numFmt w:val="bullet"/>
      <w:lvlText w:val="–"/>
      <w:lvlJc w:val="left"/>
      <w:pPr>
        <w:tabs>
          <w:tab w:val="num" w:pos="3600"/>
        </w:tabs>
        <w:ind w:left="3600" w:hanging="360"/>
      </w:pPr>
      <w:rPr>
        <w:rFonts w:ascii="Arial" w:hAnsi="Arial" w:hint="default"/>
      </w:rPr>
    </w:lvl>
    <w:lvl w:ilvl="5" w:tplc="9AD0AD06" w:tentative="1">
      <w:start w:val="1"/>
      <w:numFmt w:val="bullet"/>
      <w:lvlText w:val="–"/>
      <w:lvlJc w:val="left"/>
      <w:pPr>
        <w:tabs>
          <w:tab w:val="num" w:pos="4320"/>
        </w:tabs>
        <w:ind w:left="4320" w:hanging="360"/>
      </w:pPr>
      <w:rPr>
        <w:rFonts w:ascii="Arial" w:hAnsi="Arial" w:hint="default"/>
      </w:rPr>
    </w:lvl>
    <w:lvl w:ilvl="6" w:tplc="45C878B8" w:tentative="1">
      <w:start w:val="1"/>
      <w:numFmt w:val="bullet"/>
      <w:lvlText w:val="–"/>
      <w:lvlJc w:val="left"/>
      <w:pPr>
        <w:tabs>
          <w:tab w:val="num" w:pos="5040"/>
        </w:tabs>
        <w:ind w:left="5040" w:hanging="360"/>
      </w:pPr>
      <w:rPr>
        <w:rFonts w:ascii="Arial" w:hAnsi="Arial" w:hint="default"/>
      </w:rPr>
    </w:lvl>
    <w:lvl w:ilvl="7" w:tplc="94C83330" w:tentative="1">
      <w:start w:val="1"/>
      <w:numFmt w:val="bullet"/>
      <w:lvlText w:val="–"/>
      <w:lvlJc w:val="left"/>
      <w:pPr>
        <w:tabs>
          <w:tab w:val="num" w:pos="5760"/>
        </w:tabs>
        <w:ind w:left="5760" w:hanging="360"/>
      </w:pPr>
      <w:rPr>
        <w:rFonts w:ascii="Arial" w:hAnsi="Arial" w:hint="default"/>
      </w:rPr>
    </w:lvl>
    <w:lvl w:ilvl="8" w:tplc="363AD8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DE70C74"/>
    <w:multiLevelType w:val="hybridMultilevel"/>
    <w:tmpl w:val="EB886212"/>
    <w:lvl w:ilvl="0" w:tplc="DBCE3226">
      <w:start w:val="1"/>
      <w:numFmt w:val="bullet"/>
      <w:lvlText w:val="–"/>
      <w:lvlJc w:val="left"/>
      <w:pPr>
        <w:tabs>
          <w:tab w:val="num" w:pos="720"/>
        </w:tabs>
        <w:ind w:left="720" w:hanging="360"/>
      </w:pPr>
      <w:rPr>
        <w:rFonts w:ascii="Arial" w:hAnsi="Arial" w:hint="default"/>
      </w:rPr>
    </w:lvl>
    <w:lvl w:ilvl="1" w:tplc="555AC7CC">
      <w:start w:val="1"/>
      <w:numFmt w:val="bullet"/>
      <w:lvlText w:val="–"/>
      <w:lvlJc w:val="left"/>
      <w:pPr>
        <w:tabs>
          <w:tab w:val="num" w:pos="1440"/>
        </w:tabs>
        <w:ind w:left="1440" w:hanging="360"/>
      </w:pPr>
      <w:rPr>
        <w:rFonts w:ascii="Arial" w:hAnsi="Arial" w:hint="default"/>
      </w:rPr>
    </w:lvl>
    <w:lvl w:ilvl="2" w:tplc="5A361F9E" w:tentative="1">
      <w:start w:val="1"/>
      <w:numFmt w:val="bullet"/>
      <w:lvlText w:val="–"/>
      <w:lvlJc w:val="left"/>
      <w:pPr>
        <w:tabs>
          <w:tab w:val="num" w:pos="2160"/>
        </w:tabs>
        <w:ind w:left="2160" w:hanging="360"/>
      </w:pPr>
      <w:rPr>
        <w:rFonts w:ascii="Arial" w:hAnsi="Arial" w:hint="default"/>
      </w:rPr>
    </w:lvl>
    <w:lvl w:ilvl="3" w:tplc="63DA414E" w:tentative="1">
      <w:start w:val="1"/>
      <w:numFmt w:val="bullet"/>
      <w:lvlText w:val="–"/>
      <w:lvlJc w:val="left"/>
      <w:pPr>
        <w:tabs>
          <w:tab w:val="num" w:pos="2880"/>
        </w:tabs>
        <w:ind w:left="2880" w:hanging="360"/>
      </w:pPr>
      <w:rPr>
        <w:rFonts w:ascii="Arial" w:hAnsi="Arial" w:hint="default"/>
      </w:rPr>
    </w:lvl>
    <w:lvl w:ilvl="4" w:tplc="AA84FA06" w:tentative="1">
      <w:start w:val="1"/>
      <w:numFmt w:val="bullet"/>
      <w:lvlText w:val="–"/>
      <w:lvlJc w:val="left"/>
      <w:pPr>
        <w:tabs>
          <w:tab w:val="num" w:pos="3600"/>
        </w:tabs>
        <w:ind w:left="3600" w:hanging="360"/>
      </w:pPr>
      <w:rPr>
        <w:rFonts w:ascii="Arial" w:hAnsi="Arial" w:hint="default"/>
      </w:rPr>
    </w:lvl>
    <w:lvl w:ilvl="5" w:tplc="44FCDFAC" w:tentative="1">
      <w:start w:val="1"/>
      <w:numFmt w:val="bullet"/>
      <w:lvlText w:val="–"/>
      <w:lvlJc w:val="left"/>
      <w:pPr>
        <w:tabs>
          <w:tab w:val="num" w:pos="4320"/>
        </w:tabs>
        <w:ind w:left="4320" w:hanging="360"/>
      </w:pPr>
      <w:rPr>
        <w:rFonts w:ascii="Arial" w:hAnsi="Arial" w:hint="default"/>
      </w:rPr>
    </w:lvl>
    <w:lvl w:ilvl="6" w:tplc="6A5A8E04" w:tentative="1">
      <w:start w:val="1"/>
      <w:numFmt w:val="bullet"/>
      <w:lvlText w:val="–"/>
      <w:lvlJc w:val="left"/>
      <w:pPr>
        <w:tabs>
          <w:tab w:val="num" w:pos="5040"/>
        </w:tabs>
        <w:ind w:left="5040" w:hanging="360"/>
      </w:pPr>
      <w:rPr>
        <w:rFonts w:ascii="Arial" w:hAnsi="Arial" w:hint="default"/>
      </w:rPr>
    </w:lvl>
    <w:lvl w:ilvl="7" w:tplc="C7B2A3CA" w:tentative="1">
      <w:start w:val="1"/>
      <w:numFmt w:val="bullet"/>
      <w:lvlText w:val="–"/>
      <w:lvlJc w:val="left"/>
      <w:pPr>
        <w:tabs>
          <w:tab w:val="num" w:pos="5760"/>
        </w:tabs>
        <w:ind w:left="5760" w:hanging="360"/>
      </w:pPr>
      <w:rPr>
        <w:rFonts w:ascii="Arial" w:hAnsi="Arial" w:hint="default"/>
      </w:rPr>
    </w:lvl>
    <w:lvl w:ilvl="8" w:tplc="2F80BF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3695E6F"/>
    <w:multiLevelType w:val="hybridMultilevel"/>
    <w:tmpl w:val="07A6B1A6"/>
    <w:lvl w:ilvl="0" w:tplc="A8C876A8">
      <w:start w:val="1"/>
      <w:numFmt w:val="bullet"/>
      <w:lvlText w:val="–"/>
      <w:lvlJc w:val="left"/>
      <w:pPr>
        <w:tabs>
          <w:tab w:val="num" w:pos="720"/>
        </w:tabs>
        <w:ind w:left="720" w:hanging="360"/>
      </w:pPr>
      <w:rPr>
        <w:rFonts w:ascii="Arial" w:hAnsi="Arial" w:hint="default"/>
      </w:rPr>
    </w:lvl>
    <w:lvl w:ilvl="1" w:tplc="6E2AA240">
      <w:start w:val="1"/>
      <w:numFmt w:val="bullet"/>
      <w:lvlText w:val="–"/>
      <w:lvlJc w:val="left"/>
      <w:pPr>
        <w:tabs>
          <w:tab w:val="num" w:pos="1440"/>
        </w:tabs>
        <w:ind w:left="1440" w:hanging="360"/>
      </w:pPr>
      <w:rPr>
        <w:rFonts w:ascii="Arial" w:hAnsi="Arial" w:hint="default"/>
      </w:rPr>
    </w:lvl>
    <w:lvl w:ilvl="2" w:tplc="F4E6DA22" w:tentative="1">
      <w:start w:val="1"/>
      <w:numFmt w:val="bullet"/>
      <w:lvlText w:val="–"/>
      <w:lvlJc w:val="left"/>
      <w:pPr>
        <w:tabs>
          <w:tab w:val="num" w:pos="2160"/>
        </w:tabs>
        <w:ind w:left="2160" w:hanging="360"/>
      </w:pPr>
      <w:rPr>
        <w:rFonts w:ascii="Arial" w:hAnsi="Arial" w:hint="default"/>
      </w:rPr>
    </w:lvl>
    <w:lvl w:ilvl="3" w:tplc="D2025264" w:tentative="1">
      <w:start w:val="1"/>
      <w:numFmt w:val="bullet"/>
      <w:lvlText w:val="–"/>
      <w:lvlJc w:val="left"/>
      <w:pPr>
        <w:tabs>
          <w:tab w:val="num" w:pos="2880"/>
        </w:tabs>
        <w:ind w:left="2880" w:hanging="360"/>
      </w:pPr>
      <w:rPr>
        <w:rFonts w:ascii="Arial" w:hAnsi="Arial" w:hint="default"/>
      </w:rPr>
    </w:lvl>
    <w:lvl w:ilvl="4" w:tplc="1E749000" w:tentative="1">
      <w:start w:val="1"/>
      <w:numFmt w:val="bullet"/>
      <w:lvlText w:val="–"/>
      <w:lvlJc w:val="left"/>
      <w:pPr>
        <w:tabs>
          <w:tab w:val="num" w:pos="3600"/>
        </w:tabs>
        <w:ind w:left="3600" w:hanging="360"/>
      </w:pPr>
      <w:rPr>
        <w:rFonts w:ascii="Arial" w:hAnsi="Arial" w:hint="default"/>
      </w:rPr>
    </w:lvl>
    <w:lvl w:ilvl="5" w:tplc="DCB0E036" w:tentative="1">
      <w:start w:val="1"/>
      <w:numFmt w:val="bullet"/>
      <w:lvlText w:val="–"/>
      <w:lvlJc w:val="left"/>
      <w:pPr>
        <w:tabs>
          <w:tab w:val="num" w:pos="4320"/>
        </w:tabs>
        <w:ind w:left="4320" w:hanging="360"/>
      </w:pPr>
      <w:rPr>
        <w:rFonts w:ascii="Arial" w:hAnsi="Arial" w:hint="default"/>
      </w:rPr>
    </w:lvl>
    <w:lvl w:ilvl="6" w:tplc="2D50E02E" w:tentative="1">
      <w:start w:val="1"/>
      <w:numFmt w:val="bullet"/>
      <w:lvlText w:val="–"/>
      <w:lvlJc w:val="left"/>
      <w:pPr>
        <w:tabs>
          <w:tab w:val="num" w:pos="5040"/>
        </w:tabs>
        <w:ind w:left="5040" w:hanging="360"/>
      </w:pPr>
      <w:rPr>
        <w:rFonts w:ascii="Arial" w:hAnsi="Arial" w:hint="default"/>
      </w:rPr>
    </w:lvl>
    <w:lvl w:ilvl="7" w:tplc="026A08FC" w:tentative="1">
      <w:start w:val="1"/>
      <w:numFmt w:val="bullet"/>
      <w:lvlText w:val="–"/>
      <w:lvlJc w:val="left"/>
      <w:pPr>
        <w:tabs>
          <w:tab w:val="num" w:pos="5760"/>
        </w:tabs>
        <w:ind w:left="5760" w:hanging="360"/>
      </w:pPr>
      <w:rPr>
        <w:rFonts w:ascii="Arial" w:hAnsi="Arial" w:hint="default"/>
      </w:rPr>
    </w:lvl>
    <w:lvl w:ilvl="8" w:tplc="0172F2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4552AC"/>
    <w:multiLevelType w:val="hybridMultilevel"/>
    <w:tmpl w:val="CB3C433A"/>
    <w:lvl w:ilvl="0" w:tplc="5984917C">
      <w:start w:val="1"/>
      <w:numFmt w:val="bullet"/>
      <w:lvlText w:val="•"/>
      <w:lvlJc w:val="left"/>
      <w:pPr>
        <w:tabs>
          <w:tab w:val="num" w:pos="720"/>
        </w:tabs>
        <w:ind w:left="720" w:hanging="360"/>
      </w:pPr>
      <w:rPr>
        <w:rFonts w:ascii="Arial" w:hAnsi="Arial" w:hint="default"/>
      </w:rPr>
    </w:lvl>
    <w:lvl w:ilvl="1" w:tplc="DFB23A88">
      <w:numFmt w:val="bullet"/>
      <w:lvlText w:val="–"/>
      <w:lvlJc w:val="left"/>
      <w:pPr>
        <w:tabs>
          <w:tab w:val="num" w:pos="1440"/>
        </w:tabs>
        <w:ind w:left="1440" w:hanging="360"/>
      </w:pPr>
      <w:rPr>
        <w:rFonts w:ascii="Arial" w:hAnsi="Arial" w:hint="default"/>
      </w:rPr>
    </w:lvl>
    <w:lvl w:ilvl="2" w:tplc="BBD8DBE6" w:tentative="1">
      <w:start w:val="1"/>
      <w:numFmt w:val="bullet"/>
      <w:lvlText w:val="•"/>
      <w:lvlJc w:val="left"/>
      <w:pPr>
        <w:tabs>
          <w:tab w:val="num" w:pos="2160"/>
        </w:tabs>
        <w:ind w:left="2160" w:hanging="360"/>
      </w:pPr>
      <w:rPr>
        <w:rFonts w:ascii="Arial" w:hAnsi="Arial" w:hint="default"/>
      </w:rPr>
    </w:lvl>
    <w:lvl w:ilvl="3" w:tplc="99D89F96" w:tentative="1">
      <w:start w:val="1"/>
      <w:numFmt w:val="bullet"/>
      <w:lvlText w:val="•"/>
      <w:lvlJc w:val="left"/>
      <w:pPr>
        <w:tabs>
          <w:tab w:val="num" w:pos="2880"/>
        </w:tabs>
        <w:ind w:left="2880" w:hanging="360"/>
      </w:pPr>
      <w:rPr>
        <w:rFonts w:ascii="Arial" w:hAnsi="Arial" w:hint="default"/>
      </w:rPr>
    </w:lvl>
    <w:lvl w:ilvl="4" w:tplc="E96EE332" w:tentative="1">
      <w:start w:val="1"/>
      <w:numFmt w:val="bullet"/>
      <w:lvlText w:val="•"/>
      <w:lvlJc w:val="left"/>
      <w:pPr>
        <w:tabs>
          <w:tab w:val="num" w:pos="3600"/>
        </w:tabs>
        <w:ind w:left="3600" w:hanging="360"/>
      </w:pPr>
      <w:rPr>
        <w:rFonts w:ascii="Arial" w:hAnsi="Arial" w:hint="default"/>
      </w:rPr>
    </w:lvl>
    <w:lvl w:ilvl="5" w:tplc="A9B29B76" w:tentative="1">
      <w:start w:val="1"/>
      <w:numFmt w:val="bullet"/>
      <w:lvlText w:val="•"/>
      <w:lvlJc w:val="left"/>
      <w:pPr>
        <w:tabs>
          <w:tab w:val="num" w:pos="4320"/>
        </w:tabs>
        <w:ind w:left="4320" w:hanging="360"/>
      </w:pPr>
      <w:rPr>
        <w:rFonts w:ascii="Arial" w:hAnsi="Arial" w:hint="default"/>
      </w:rPr>
    </w:lvl>
    <w:lvl w:ilvl="6" w:tplc="7CB47FAC" w:tentative="1">
      <w:start w:val="1"/>
      <w:numFmt w:val="bullet"/>
      <w:lvlText w:val="•"/>
      <w:lvlJc w:val="left"/>
      <w:pPr>
        <w:tabs>
          <w:tab w:val="num" w:pos="5040"/>
        </w:tabs>
        <w:ind w:left="5040" w:hanging="360"/>
      </w:pPr>
      <w:rPr>
        <w:rFonts w:ascii="Arial" w:hAnsi="Arial" w:hint="default"/>
      </w:rPr>
    </w:lvl>
    <w:lvl w:ilvl="7" w:tplc="7AB2857A" w:tentative="1">
      <w:start w:val="1"/>
      <w:numFmt w:val="bullet"/>
      <w:lvlText w:val="•"/>
      <w:lvlJc w:val="left"/>
      <w:pPr>
        <w:tabs>
          <w:tab w:val="num" w:pos="5760"/>
        </w:tabs>
        <w:ind w:left="5760" w:hanging="360"/>
      </w:pPr>
      <w:rPr>
        <w:rFonts w:ascii="Arial" w:hAnsi="Arial" w:hint="default"/>
      </w:rPr>
    </w:lvl>
    <w:lvl w:ilvl="8" w:tplc="24F2AF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BD0A63"/>
    <w:multiLevelType w:val="hybridMultilevel"/>
    <w:tmpl w:val="D62C1104"/>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DF910C7"/>
    <w:multiLevelType w:val="hybridMultilevel"/>
    <w:tmpl w:val="A56A523C"/>
    <w:lvl w:ilvl="0" w:tplc="55062782">
      <w:start w:val="1"/>
      <w:numFmt w:val="bullet"/>
      <w:lvlText w:val="•"/>
      <w:lvlJc w:val="left"/>
      <w:pPr>
        <w:tabs>
          <w:tab w:val="num" w:pos="360"/>
        </w:tabs>
        <w:ind w:left="360" w:hanging="360"/>
      </w:pPr>
      <w:rPr>
        <w:rFonts w:ascii="Arial" w:hAnsi="Arial" w:hint="default"/>
      </w:rPr>
    </w:lvl>
    <w:lvl w:ilvl="1" w:tplc="14F44ABE" w:tentative="1">
      <w:start w:val="1"/>
      <w:numFmt w:val="bullet"/>
      <w:lvlText w:val="•"/>
      <w:lvlJc w:val="left"/>
      <w:pPr>
        <w:tabs>
          <w:tab w:val="num" w:pos="1080"/>
        </w:tabs>
        <w:ind w:left="1080" w:hanging="360"/>
      </w:pPr>
      <w:rPr>
        <w:rFonts w:ascii="Arial" w:hAnsi="Arial" w:hint="default"/>
      </w:rPr>
    </w:lvl>
    <w:lvl w:ilvl="2" w:tplc="F3A0DA72" w:tentative="1">
      <w:start w:val="1"/>
      <w:numFmt w:val="bullet"/>
      <w:lvlText w:val="•"/>
      <w:lvlJc w:val="left"/>
      <w:pPr>
        <w:tabs>
          <w:tab w:val="num" w:pos="1800"/>
        </w:tabs>
        <w:ind w:left="1800" w:hanging="360"/>
      </w:pPr>
      <w:rPr>
        <w:rFonts w:ascii="Arial" w:hAnsi="Arial" w:hint="default"/>
      </w:rPr>
    </w:lvl>
    <w:lvl w:ilvl="3" w:tplc="C3169EB6" w:tentative="1">
      <w:start w:val="1"/>
      <w:numFmt w:val="bullet"/>
      <w:lvlText w:val="•"/>
      <w:lvlJc w:val="left"/>
      <w:pPr>
        <w:tabs>
          <w:tab w:val="num" w:pos="2520"/>
        </w:tabs>
        <w:ind w:left="2520" w:hanging="360"/>
      </w:pPr>
      <w:rPr>
        <w:rFonts w:ascii="Arial" w:hAnsi="Arial" w:hint="default"/>
      </w:rPr>
    </w:lvl>
    <w:lvl w:ilvl="4" w:tplc="59CC4998" w:tentative="1">
      <w:start w:val="1"/>
      <w:numFmt w:val="bullet"/>
      <w:lvlText w:val="•"/>
      <w:lvlJc w:val="left"/>
      <w:pPr>
        <w:tabs>
          <w:tab w:val="num" w:pos="3240"/>
        </w:tabs>
        <w:ind w:left="3240" w:hanging="360"/>
      </w:pPr>
      <w:rPr>
        <w:rFonts w:ascii="Arial" w:hAnsi="Arial" w:hint="default"/>
      </w:rPr>
    </w:lvl>
    <w:lvl w:ilvl="5" w:tplc="DAEE5E84" w:tentative="1">
      <w:start w:val="1"/>
      <w:numFmt w:val="bullet"/>
      <w:lvlText w:val="•"/>
      <w:lvlJc w:val="left"/>
      <w:pPr>
        <w:tabs>
          <w:tab w:val="num" w:pos="3960"/>
        </w:tabs>
        <w:ind w:left="3960" w:hanging="360"/>
      </w:pPr>
      <w:rPr>
        <w:rFonts w:ascii="Arial" w:hAnsi="Arial" w:hint="default"/>
      </w:rPr>
    </w:lvl>
    <w:lvl w:ilvl="6" w:tplc="73DC506C" w:tentative="1">
      <w:start w:val="1"/>
      <w:numFmt w:val="bullet"/>
      <w:lvlText w:val="•"/>
      <w:lvlJc w:val="left"/>
      <w:pPr>
        <w:tabs>
          <w:tab w:val="num" w:pos="4680"/>
        </w:tabs>
        <w:ind w:left="4680" w:hanging="360"/>
      </w:pPr>
      <w:rPr>
        <w:rFonts w:ascii="Arial" w:hAnsi="Arial" w:hint="default"/>
      </w:rPr>
    </w:lvl>
    <w:lvl w:ilvl="7" w:tplc="9CD0550C" w:tentative="1">
      <w:start w:val="1"/>
      <w:numFmt w:val="bullet"/>
      <w:lvlText w:val="•"/>
      <w:lvlJc w:val="left"/>
      <w:pPr>
        <w:tabs>
          <w:tab w:val="num" w:pos="5400"/>
        </w:tabs>
        <w:ind w:left="5400" w:hanging="360"/>
      </w:pPr>
      <w:rPr>
        <w:rFonts w:ascii="Arial" w:hAnsi="Arial" w:hint="default"/>
      </w:rPr>
    </w:lvl>
    <w:lvl w:ilvl="8" w:tplc="476662B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FC62E19"/>
    <w:multiLevelType w:val="hybridMultilevel"/>
    <w:tmpl w:val="40428CFC"/>
    <w:lvl w:ilvl="0" w:tplc="2D3E1786">
      <w:start w:val="1"/>
      <w:numFmt w:val="bullet"/>
      <w:lvlText w:val="–"/>
      <w:lvlJc w:val="left"/>
      <w:pPr>
        <w:tabs>
          <w:tab w:val="num" w:pos="720"/>
        </w:tabs>
        <w:ind w:left="720" w:hanging="360"/>
      </w:pPr>
      <w:rPr>
        <w:rFonts w:ascii="Arial" w:hAnsi="Arial" w:hint="default"/>
      </w:rPr>
    </w:lvl>
    <w:lvl w:ilvl="1" w:tplc="DE3A15E4">
      <w:start w:val="1"/>
      <w:numFmt w:val="bullet"/>
      <w:lvlText w:val="–"/>
      <w:lvlJc w:val="left"/>
      <w:pPr>
        <w:tabs>
          <w:tab w:val="num" w:pos="1440"/>
        </w:tabs>
        <w:ind w:left="1440" w:hanging="360"/>
      </w:pPr>
      <w:rPr>
        <w:rFonts w:ascii="Arial" w:hAnsi="Arial" w:hint="default"/>
      </w:rPr>
    </w:lvl>
    <w:lvl w:ilvl="2" w:tplc="1C7C11D4" w:tentative="1">
      <w:start w:val="1"/>
      <w:numFmt w:val="bullet"/>
      <w:lvlText w:val="–"/>
      <w:lvlJc w:val="left"/>
      <w:pPr>
        <w:tabs>
          <w:tab w:val="num" w:pos="2160"/>
        </w:tabs>
        <w:ind w:left="2160" w:hanging="360"/>
      </w:pPr>
      <w:rPr>
        <w:rFonts w:ascii="Arial" w:hAnsi="Arial" w:hint="default"/>
      </w:rPr>
    </w:lvl>
    <w:lvl w:ilvl="3" w:tplc="30243418" w:tentative="1">
      <w:start w:val="1"/>
      <w:numFmt w:val="bullet"/>
      <w:lvlText w:val="–"/>
      <w:lvlJc w:val="left"/>
      <w:pPr>
        <w:tabs>
          <w:tab w:val="num" w:pos="2880"/>
        </w:tabs>
        <w:ind w:left="2880" w:hanging="360"/>
      </w:pPr>
      <w:rPr>
        <w:rFonts w:ascii="Arial" w:hAnsi="Arial" w:hint="default"/>
      </w:rPr>
    </w:lvl>
    <w:lvl w:ilvl="4" w:tplc="E07A5EC8" w:tentative="1">
      <w:start w:val="1"/>
      <w:numFmt w:val="bullet"/>
      <w:lvlText w:val="–"/>
      <w:lvlJc w:val="left"/>
      <w:pPr>
        <w:tabs>
          <w:tab w:val="num" w:pos="3600"/>
        </w:tabs>
        <w:ind w:left="3600" w:hanging="360"/>
      </w:pPr>
      <w:rPr>
        <w:rFonts w:ascii="Arial" w:hAnsi="Arial" w:hint="default"/>
      </w:rPr>
    </w:lvl>
    <w:lvl w:ilvl="5" w:tplc="B5505132" w:tentative="1">
      <w:start w:val="1"/>
      <w:numFmt w:val="bullet"/>
      <w:lvlText w:val="–"/>
      <w:lvlJc w:val="left"/>
      <w:pPr>
        <w:tabs>
          <w:tab w:val="num" w:pos="4320"/>
        </w:tabs>
        <w:ind w:left="4320" w:hanging="360"/>
      </w:pPr>
      <w:rPr>
        <w:rFonts w:ascii="Arial" w:hAnsi="Arial" w:hint="default"/>
      </w:rPr>
    </w:lvl>
    <w:lvl w:ilvl="6" w:tplc="69AE9156" w:tentative="1">
      <w:start w:val="1"/>
      <w:numFmt w:val="bullet"/>
      <w:lvlText w:val="–"/>
      <w:lvlJc w:val="left"/>
      <w:pPr>
        <w:tabs>
          <w:tab w:val="num" w:pos="5040"/>
        </w:tabs>
        <w:ind w:left="5040" w:hanging="360"/>
      </w:pPr>
      <w:rPr>
        <w:rFonts w:ascii="Arial" w:hAnsi="Arial" w:hint="default"/>
      </w:rPr>
    </w:lvl>
    <w:lvl w:ilvl="7" w:tplc="2BF01E06" w:tentative="1">
      <w:start w:val="1"/>
      <w:numFmt w:val="bullet"/>
      <w:lvlText w:val="–"/>
      <w:lvlJc w:val="left"/>
      <w:pPr>
        <w:tabs>
          <w:tab w:val="num" w:pos="5760"/>
        </w:tabs>
        <w:ind w:left="5760" w:hanging="360"/>
      </w:pPr>
      <w:rPr>
        <w:rFonts w:ascii="Arial" w:hAnsi="Arial" w:hint="default"/>
      </w:rPr>
    </w:lvl>
    <w:lvl w:ilvl="8" w:tplc="235A9A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E02A5E"/>
    <w:multiLevelType w:val="hybridMultilevel"/>
    <w:tmpl w:val="010A2E18"/>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8090003">
      <w:start w:val="1"/>
      <w:numFmt w:val="bullet"/>
      <w:lvlText w:val="o"/>
      <w:lvlJc w:val="left"/>
      <w:pPr>
        <w:ind w:left="1964" w:hanging="420"/>
      </w:pPr>
      <w:rPr>
        <w:rFonts w:ascii="Courier New" w:hAnsi="Courier New" w:cs="Courier New"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A0661ED"/>
    <w:multiLevelType w:val="hybridMultilevel"/>
    <w:tmpl w:val="02CE131E"/>
    <w:lvl w:ilvl="0" w:tplc="B9AA52E6">
      <w:start w:val="1"/>
      <w:numFmt w:val="bullet"/>
      <w:lvlText w:val="•"/>
      <w:lvlJc w:val="left"/>
      <w:pPr>
        <w:tabs>
          <w:tab w:val="num" w:pos="720"/>
        </w:tabs>
        <w:ind w:left="720" w:hanging="360"/>
      </w:pPr>
      <w:rPr>
        <w:rFonts w:ascii="Arial" w:hAnsi="Arial" w:hint="default"/>
      </w:rPr>
    </w:lvl>
    <w:lvl w:ilvl="1" w:tplc="9A6A7DA4">
      <w:numFmt w:val="bullet"/>
      <w:lvlText w:val="–"/>
      <w:lvlJc w:val="left"/>
      <w:pPr>
        <w:tabs>
          <w:tab w:val="num" w:pos="1440"/>
        </w:tabs>
        <w:ind w:left="1440" w:hanging="360"/>
      </w:pPr>
      <w:rPr>
        <w:rFonts w:ascii="Arial" w:hAnsi="Arial" w:hint="default"/>
      </w:rPr>
    </w:lvl>
    <w:lvl w:ilvl="2" w:tplc="8E8059E6" w:tentative="1">
      <w:start w:val="1"/>
      <w:numFmt w:val="bullet"/>
      <w:lvlText w:val="•"/>
      <w:lvlJc w:val="left"/>
      <w:pPr>
        <w:tabs>
          <w:tab w:val="num" w:pos="2160"/>
        </w:tabs>
        <w:ind w:left="2160" w:hanging="360"/>
      </w:pPr>
      <w:rPr>
        <w:rFonts w:ascii="Arial" w:hAnsi="Arial" w:hint="default"/>
      </w:rPr>
    </w:lvl>
    <w:lvl w:ilvl="3" w:tplc="39FA95E4" w:tentative="1">
      <w:start w:val="1"/>
      <w:numFmt w:val="bullet"/>
      <w:lvlText w:val="•"/>
      <w:lvlJc w:val="left"/>
      <w:pPr>
        <w:tabs>
          <w:tab w:val="num" w:pos="2880"/>
        </w:tabs>
        <w:ind w:left="2880" w:hanging="360"/>
      </w:pPr>
      <w:rPr>
        <w:rFonts w:ascii="Arial" w:hAnsi="Arial" w:hint="default"/>
      </w:rPr>
    </w:lvl>
    <w:lvl w:ilvl="4" w:tplc="E556D4DE" w:tentative="1">
      <w:start w:val="1"/>
      <w:numFmt w:val="bullet"/>
      <w:lvlText w:val="•"/>
      <w:lvlJc w:val="left"/>
      <w:pPr>
        <w:tabs>
          <w:tab w:val="num" w:pos="3600"/>
        </w:tabs>
        <w:ind w:left="3600" w:hanging="360"/>
      </w:pPr>
      <w:rPr>
        <w:rFonts w:ascii="Arial" w:hAnsi="Arial" w:hint="default"/>
      </w:rPr>
    </w:lvl>
    <w:lvl w:ilvl="5" w:tplc="E3083EB2" w:tentative="1">
      <w:start w:val="1"/>
      <w:numFmt w:val="bullet"/>
      <w:lvlText w:val="•"/>
      <w:lvlJc w:val="left"/>
      <w:pPr>
        <w:tabs>
          <w:tab w:val="num" w:pos="4320"/>
        </w:tabs>
        <w:ind w:left="4320" w:hanging="360"/>
      </w:pPr>
      <w:rPr>
        <w:rFonts w:ascii="Arial" w:hAnsi="Arial" w:hint="default"/>
      </w:rPr>
    </w:lvl>
    <w:lvl w:ilvl="6" w:tplc="9752B16A" w:tentative="1">
      <w:start w:val="1"/>
      <w:numFmt w:val="bullet"/>
      <w:lvlText w:val="•"/>
      <w:lvlJc w:val="left"/>
      <w:pPr>
        <w:tabs>
          <w:tab w:val="num" w:pos="5040"/>
        </w:tabs>
        <w:ind w:left="5040" w:hanging="360"/>
      </w:pPr>
      <w:rPr>
        <w:rFonts w:ascii="Arial" w:hAnsi="Arial" w:hint="default"/>
      </w:rPr>
    </w:lvl>
    <w:lvl w:ilvl="7" w:tplc="AF46C79A" w:tentative="1">
      <w:start w:val="1"/>
      <w:numFmt w:val="bullet"/>
      <w:lvlText w:val="•"/>
      <w:lvlJc w:val="left"/>
      <w:pPr>
        <w:tabs>
          <w:tab w:val="num" w:pos="5760"/>
        </w:tabs>
        <w:ind w:left="5760" w:hanging="360"/>
      </w:pPr>
      <w:rPr>
        <w:rFonts w:ascii="Arial" w:hAnsi="Arial" w:hint="default"/>
      </w:rPr>
    </w:lvl>
    <w:lvl w:ilvl="8" w:tplc="0BEA77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4F32A8"/>
    <w:multiLevelType w:val="hybridMultilevel"/>
    <w:tmpl w:val="2F5C40F2"/>
    <w:lvl w:ilvl="0" w:tplc="DF7E99E0">
      <w:start w:val="1"/>
      <w:numFmt w:val="bullet"/>
      <w:lvlText w:val="•"/>
      <w:lvlJc w:val="left"/>
      <w:pPr>
        <w:tabs>
          <w:tab w:val="num" w:pos="360"/>
        </w:tabs>
        <w:ind w:left="360" w:hanging="360"/>
      </w:pPr>
      <w:rPr>
        <w:rFonts w:ascii="Arial" w:hAnsi="Arial" w:hint="default"/>
      </w:rPr>
    </w:lvl>
    <w:lvl w:ilvl="1" w:tplc="D1F2E8B6">
      <w:start w:val="1"/>
      <w:numFmt w:val="bullet"/>
      <w:lvlText w:val="•"/>
      <w:lvlJc w:val="left"/>
      <w:pPr>
        <w:tabs>
          <w:tab w:val="num" w:pos="1080"/>
        </w:tabs>
        <w:ind w:left="1080" w:hanging="360"/>
      </w:pPr>
      <w:rPr>
        <w:rFonts w:ascii="Arial" w:hAnsi="Arial" w:hint="default"/>
      </w:rPr>
    </w:lvl>
    <w:lvl w:ilvl="2" w:tplc="413C2B36" w:tentative="1">
      <w:start w:val="1"/>
      <w:numFmt w:val="bullet"/>
      <w:lvlText w:val="•"/>
      <w:lvlJc w:val="left"/>
      <w:pPr>
        <w:tabs>
          <w:tab w:val="num" w:pos="1800"/>
        </w:tabs>
        <w:ind w:left="1800" w:hanging="360"/>
      </w:pPr>
      <w:rPr>
        <w:rFonts w:ascii="Arial" w:hAnsi="Arial" w:hint="default"/>
      </w:rPr>
    </w:lvl>
    <w:lvl w:ilvl="3" w:tplc="35F0A4BE" w:tentative="1">
      <w:start w:val="1"/>
      <w:numFmt w:val="bullet"/>
      <w:lvlText w:val="•"/>
      <w:lvlJc w:val="left"/>
      <w:pPr>
        <w:tabs>
          <w:tab w:val="num" w:pos="2520"/>
        </w:tabs>
        <w:ind w:left="2520" w:hanging="360"/>
      </w:pPr>
      <w:rPr>
        <w:rFonts w:ascii="Arial" w:hAnsi="Arial" w:hint="default"/>
      </w:rPr>
    </w:lvl>
    <w:lvl w:ilvl="4" w:tplc="A1D874E4" w:tentative="1">
      <w:start w:val="1"/>
      <w:numFmt w:val="bullet"/>
      <w:lvlText w:val="•"/>
      <w:lvlJc w:val="left"/>
      <w:pPr>
        <w:tabs>
          <w:tab w:val="num" w:pos="3240"/>
        </w:tabs>
        <w:ind w:left="3240" w:hanging="360"/>
      </w:pPr>
      <w:rPr>
        <w:rFonts w:ascii="Arial" w:hAnsi="Arial" w:hint="default"/>
      </w:rPr>
    </w:lvl>
    <w:lvl w:ilvl="5" w:tplc="D46E0278" w:tentative="1">
      <w:start w:val="1"/>
      <w:numFmt w:val="bullet"/>
      <w:lvlText w:val="•"/>
      <w:lvlJc w:val="left"/>
      <w:pPr>
        <w:tabs>
          <w:tab w:val="num" w:pos="3960"/>
        </w:tabs>
        <w:ind w:left="3960" w:hanging="360"/>
      </w:pPr>
      <w:rPr>
        <w:rFonts w:ascii="Arial" w:hAnsi="Arial" w:hint="default"/>
      </w:rPr>
    </w:lvl>
    <w:lvl w:ilvl="6" w:tplc="152CB7A0" w:tentative="1">
      <w:start w:val="1"/>
      <w:numFmt w:val="bullet"/>
      <w:lvlText w:val="•"/>
      <w:lvlJc w:val="left"/>
      <w:pPr>
        <w:tabs>
          <w:tab w:val="num" w:pos="4680"/>
        </w:tabs>
        <w:ind w:left="4680" w:hanging="360"/>
      </w:pPr>
      <w:rPr>
        <w:rFonts w:ascii="Arial" w:hAnsi="Arial" w:hint="default"/>
      </w:rPr>
    </w:lvl>
    <w:lvl w:ilvl="7" w:tplc="E85A7A9E" w:tentative="1">
      <w:start w:val="1"/>
      <w:numFmt w:val="bullet"/>
      <w:lvlText w:val="•"/>
      <w:lvlJc w:val="left"/>
      <w:pPr>
        <w:tabs>
          <w:tab w:val="num" w:pos="5400"/>
        </w:tabs>
        <w:ind w:left="5400" w:hanging="360"/>
      </w:pPr>
      <w:rPr>
        <w:rFonts w:ascii="Arial" w:hAnsi="Arial" w:hint="default"/>
      </w:rPr>
    </w:lvl>
    <w:lvl w:ilvl="8" w:tplc="6E12280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EE954A6"/>
    <w:multiLevelType w:val="hybridMultilevel"/>
    <w:tmpl w:val="6FA8E516"/>
    <w:lvl w:ilvl="0" w:tplc="406CE4C0">
      <w:start w:val="1"/>
      <w:numFmt w:val="bullet"/>
      <w:lvlText w:val="–"/>
      <w:lvlJc w:val="left"/>
      <w:pPr>
        <w:tabs>
          <w:tab w:val="num" w:pos="720"/>
        </w:tabs>
        <w:ind w:left="720" w:hanging="360"/>
      </w:pPr>
      <w:rPr>
        <w:rFonts w:ascii="Arial" w:hAnsi="Arial" w:hint="default"/>
      </w:rPr>
    </w:lvl>
    <w:lvl w:ilvl="1" w:tplc="50D45C3C">
      <w:start w:val="1"/>
      <w:numFmt w:val="bullet"/>
      <w:lvlText w:val="–"/>
      <w:lvlJc w:val="left"/>
      <w:pPr>
        <w:tabs>
          <w:tab w:val="num" w:pos="1440"/>
        </w:tabs>
        <w:ind w:left="1440" w:hanging="360"/>
      </w:pPr>
      <w:rPr>
        <w:rFonts w:ascii="Arial" w:hAnsi="Arial" w:hint="default"/>
      </w:rPr>
    </w:lvl>
    <w:lvl w:ilvl="2" w:tplc="FC70FF86" w:tentative="1">
      <w:start w:val="1"/>
      <w:numFmt w:val="bullet"/>
      <w:lvlText w:val="–"/>
      <w:lvlJc w:val="left"/>
      <w:pPr>
        <w:tabs>
          <w:tab w:val="num" w:pos="2160"/>
        </w:tabs>
        <w:ind w:left="2160" w:hanging="360"/>
      </w:pPr>
      <w:rPr>
        <w:rFonts w:ascii="Arial" w:hAnsi="Arial" w:hint="default"/>
      </w:rPr>
    </w:lvl>
    <w:lvl w:ilvl="3" w:tplc="49A22662" w:tentative="1">
      <w:start w:val="1"/>
      <w:numFmt w:val="bullet"/>
      <w:lvlText w:val="–"/>
      <w:lvlJc w:val="left"/>
      <w:pPr>
        <w:tabs>
          <w:tab w:val="num" w:pos="2880"/>
        </w:tabs>
        <w:ind w:left="2880" w:hanging="360"/>
      </w:pPr>
      <w:rPr>
        <w:rFonts w:ascii="Arial" w:hAnsi="Arial" w:hint="default"/>
      </w:rPr>
    </w:lvl>
    <w:lvl w:ilvl="4" w:tplc="DB5600F6" w:tentative="1">
      <w:start w:val="1"/>
      <w:numFmt w:val="bullet"/>
      <w:lvlText w:val="–"/>
      <w:lvlJc w:val="left"/>
      <w:pPr>
        <w:tabs>
          <w:tab w:val="num" w:pos="3600"/>
        </w:tabs>
        <w:ind w:left="3600" w:hanging="360"/>
      </w:pPr>
      <w:rPr>
        <w:rFonts w:ascii="Arial" w:hAnsi="Arial" w:hint="default"/>
      </w:rPr>
    </w:lvl>
    <w:lvl w:ilvl="5" w:tplc="15047942" w:tentative="1">
      <w:start w:val="1"/>
      <w:numFmt w:val="bullet"/>
      <w:lvlText w:val="–"/>
      <w:lvlJc w:val="left"/>
      <w:pPr>
        <w:tabs>
          <w:tab w:val="num" w:pos="4320"/>
        </w:tabs>
        <w:ind w:left="4320" w:hanging="360"/>
      </w:pPr>
      <w:rPr>
        <w:rFonts w:ascii="Arial" w:hAnsi="Arial" w:hint="default"/>
      </w:rPr>
    </w:lvl>
    <w:lvl w:ilvl="6" w:tplc="427A94A2" w:tentative="1">
      <w:start w:val="1"/>
      <w:numFmt w:val="bullet"/>
      <w:lvlText w:val="–"/>
      <w:lvlJc w:val="left"/>
      <w:pPr>
        <w:tabs>
          <w:tab w:val="num" w:pos="5040"/>
        </w:tabs>
        <w:ind w:left="5040" w:hanging="360"/>
      </w:pPr>
      <w:rPr>
        <w:rFonts w:ascii="Arial" w:hAnsi="Arial" w:hint="default"/>
      </w:rPr>
    </w:lvl>
    <w:lvl w:ilvl="7" w:tplc="78024F04" w:tentative="1">
      <w:start w:val="1"/>
      <w:numFmt w:val="bullet"/>
      <w:lvlText w:val="–"/>
      <w:lvlJc w:val="left"/>
      <w:pPr>
        <w:tabs>
          <w:tab w:val="num" w:pos="5760"/>
        </w:tabs>
        <w:ind w:left="5760" w:hanging="360"/>
      </w:pPr>
      <w:rPr>
        <w:rFonts w:ascii="Arial" w:hAnsi="Arial" w:hint="default"/>
      </w:rPr>
    </w:lvl>
    <w:lvl w:ilvl="8" w:tplc="9D6487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80491A"/>
    <w:multiLevelType w:val="hybridMultilevel"/>
    <w:tmpl w:val="799E1BD0"/>
    <w:lvl w:ilvl="0" w:tplc="7DC0CABA">
      <w:start w:val="1"/>
      <w:numFmt w:val="bullet"/>
      <w:lvlText w:val="•"/>
      <w:lvlJc w:val="left"/>
      <w:pPr>
        <w:tabs>
          <w:tab w:val="num" w:pos="720"/>
        </w:tabs>
        <w:ind w:left="720" w:hanging="360"/>
      </w:pPr>
      <w:rPr>
        <w:rFonts w:ascii="Arial" w:hAnsi="Arial" w:hint="default"/>
      </w:rPr>
    </w:lvl>
    <w:lvl w:ilvl="1" w:tplc="F830D54A">
      <w:numFmt w:val="bullet"/>
      <w:lvlText w:val="–"/>
      <w:lvlJc w:val="left"/>
      <w:pPr>
        <w:tabs>
          <w:tab w:val="num" w:pos="1440"/>
        </w:tabs>
        <w:ind w:left="1440" w:hanging="360"/>
      </w:pPr>
      <w:rPr>
        <w:rFonts w:ascii="Arial" w:hAnsi="Arial" w:hint="default"/>
      </w:rPr>
    </w:lvl>
    <w:lvl w:ilvl="2" w:tplc="25BAAE92" w:tentative="1">
      <w:start w:val="1"/>
      <w:numFmt w:val="bullet"/>
      <w:lvlText w:val="•"/>
      <w:lvlJc w:val="left"/>
      <w:pPr>
        <w:tabs>
          <w:tab w:val="num" w:pos="2160"/>
        </w:tabs>
        <w:ind w:left="2160" w:hanging="360"/>
      </w:pPr>
      <w:rPr>
        <w:rFonts w:ascii="Arial" w:hAnsi="Arial" w:hint="default"/>
      </w:rPr>
    </w:lvl>
    <w:lvl w:ilvl="3" w:tplc="B76408B0" w:tentative="1">
      <w:start w:val="1"/>
      <w:numFmt w:val="bullet"/>
      <w:lvlText w:val="•"/>
      <w:lvlJc w:val="left"/>
      <w:pPr>
        <w:tabs>
          <w:tab w:val="num" w:pos="2880"/>
        </w:tabs>
        <w:ind w:left="2880" w:hanging="360"/>
      </w:pPr>
      <w:rPr>
        <w:rFonts w:ascii="Arial" w:hAnsi="Arial" w:hint="default"/>
      </w:rPr>
    </w:lvl>
    <w:lvl w:ilvl="4" w:tplc="B9627E8C" w:tentative="1">
      <w:start w:val="1"/>
      <w:numFmt w:val="bullet"/>
      <w:lvlText w:val="•"/>
      <w:lvlJc w:val="left"/>
      <w:pPr>
        <w:tabs>
          <w:tab w:val="num" w:pos="3600"/>
        </w:tabs>
        <w:ind w:left="3600" w:hanging="360"/>
      </w:pPr>
      <w:rPr>
        <w:rFonts w:ascii="Arial" w:hAnsi="Arial" w:hint="default"/>
      </w:rPr>
    </w:lvl>
    <w:lvl w:ilvl="5" w:tplc="5382F9C0" w:tentative="1">
      <w:start w:val="1"/>
      <w:numFmt w:val="bullet"/>
      <w:lvlText w:val="•"/>
      <w:lvlJc w:val="left"/>
      <w:pPr>
        <w:tabs>
          <w:tab w:val="num" w:pos="4320"/>
        </w:tabs>
        <w:ind w:left="4320" w:hanging="360"/>
      </w:pPr>
      <w:rPr>
        <w:rFonts w:ascii="Arial" w:hAnsi="Arial" w:hint="default"/>
      </w:rPr>
    </w:lvl>
    <w:lvl w:ilvl="6" w:tplc="0804CCFC" w:tentative="1">
      <w:start w:val="1"/>
      <w:numFmt w:val="bullet"/>
      <w:lvlText w:val="•"/>
      <w:lvlJc w:val="left"/>
      <w:pPr>
        <w:tabs>
          <w:tab w:val="num" w:pos="5040"/>
        </w:tabs>
        <w:ind w:left="5040" w:hanging="360"/>
      </w:pPr>
      <w:rPr>
        <w:rFonts w:ascii="Arial" w:hAnsi="Arial" w:hint="default"/>
      </w:rPr>
    </w:lvl>
    <w:lvl w:ilvl="7" w:tplc="56AC9A16" w:tentative="1">
      <w:start w:val="1"/>
      <w:numFmt w:val="bullet"/>
      <w:lvlText w:val="•"/>
      <w:lvlJc w:val="left"/>
      <w:pPr>
        <w:tabs>
          <w:tab w:val="num" w:pos="5760"/>
        </w:tabs>
        <w:ind w:left="5760" w:hanging="360"/>
      </w:pPr>
      <w:rPr>
        <w:rFonts w:ascii="Arial" w:hAnsi="Arial" w:hint="default"/>
      </w:rPr>
    </w:lvl>
    <w:lvl w:ilvl="8" w:tplc="CAD02A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020FE8"/>
    <w:multiLevelType w:val="hybridMultilevel"/>
    <w:tmpl w:val="B1DCB1E4"/>
    <w:lvl w:ilvl="0" w:tplc="11765B84">
      <w:start w:val="1"/>
      <w:numFmt w:val="bullet"/>
      <w:lvlText w:val="•"/>
      <w:lvlJc w:val="left"/>
      <w:pPr>
        <w:tabs>
          <w:tab w:val="num" w:pos="360"/>
        </w:tabs>
        <w:ind w:left="360" w:hanging="360"/>
      </w:pPr>
      <w:rPr>
        <w:rFonts w:ascii="Arial" w:hAnsi="Arial" w:hint="default"/>
      </w:rPr>
    </w:lvl>
    <w:lvl w:ilvl="1" w:tplc="3F261504">
      <w:numFmt w:val="bullet"/>
      <w:lvlText w:val="–"/>
      <w:lvlJc w:val="left"/>
      <w:pPr>
        <w:tabs>
          <w:tab w:val="num" w:pos="1080"/>
        </w:tabs>
        <w:ind w:left="1080" w:hanging="360"/>
      </w:pPr>
      <w:rPr>
        <w:rFonts w:ascii="Arial" w:hAnsi="Arial" w:hint="default"/>
      </w:rPr>
    </w:lvl>
    <w:lvl w:ilvl="2" w:tplc="960CB84A" w:tentative="1">
      <w:start w:val="1"/>
      <w:numFmt w:val="bullet"/>
      <w:lvlText w:val="•"/>
      <w:lvlJc w:val="left"/>
      <w:pPr>
        <w:tabs>
          <w:tab w:val="num" w:pos="1800"/>
        </w:tabs>
        <w:ind w:left="1800" w:hanging="360"/>
      </w:pPr>
      <w:rPr>
        <w:rFonts w:ascii="Arial" w:hAnsi="Arial" w:hint="default"/>
      </w:rPr>
    </w:lvl>
    <w:lvl w:ilvl="3" w:tplc="A5E4B1DA" w:tentative="1">
      <w:start w:val="1"/>
      <w:numFmt w:val="bullet"/>
      <w:lvlText w:val="•"/>
      <w:lvlJc w:val="left"/>
      <w:pPr>
        <w:tabs>
          <w:tab w:val="num" w:pos="2520"/>
        </w:tabs>
        <w:ind w:left="2520" w:hanging="360"/>
      </w:pPr>
      <w:rPr>
        <w:rFonts w:ascii="Arial" w:hAnsi="Arial" w:hint="default"/>
      </w:rPr>
    </w:lvl>
    <w:lvl w:ilvl="4" w:tplc="AD6EE99A" w:tentative="1">
      <w:start w:val="1"/>
      <w:numFmt w:val="bullet"/>
      <w:lvlText w:val="•"/>
      <w:lvlJc w:val="left"/>
      <w:pPr>
        <w:tabs>
          <w:tab w:val="num" w:pos="3240"/>
        </w:tabs>
        <w:ind w:left="3240" w:hanging="360"/>
      </w:pPr>
      <w:rPr>
        <w:rFonts w:ascii="Arial" w:hAnsi="Arial" w:hint="default"/>
      </w:rPr>
    </w:lvl>
    <w:lvl w:ilvl="5" w:tplc="4E1E676E" w:tentative="1">
      <w:start w:val="1"/>
      <w:numFmt w:val="bullet"/>
      <w:lvlText w:val="•"/>
      <w:lvlJc w:val="left"/>
      <w:pPr>
        <w:tabs>
          <w:tab w:val="num" w:pos="3960"/>
        </w:tabs>
        <w:ind w:left="3960" w:hanging="360"/>
      </w:pPr>
      <w:rPr>
        <w:rFonts w:ascii="Arial" w:hAnsi="Arial" w:hint="default"/>
      </w:rPr>
    </w:lvl>
    <w:lvl w:ilvl="6" w:tplc="451E0FBC" w:tentative="1">
      <w:start w:val="1"/>
      <w:numFmt w:val="bullet"/>
      <w:lvlText w:val="•"/>
      <w:lvlJc w:val="left"/>
      <w:pPr>
        <w:tabs>
          <w:tab w:val="num" w:pos="4680"/>
        </w:tabs>
        <w:ind w:left="4680" w:hanging="360"/>
      </w:pPr>
      <w:rPr>
        <w:rFonts w:ascii="Arial" w:hAnsi="Arial" w:hint="default"/>
      </w:rPr>
    </w:lvl>
    <w:lvl w:ilvl="7" w:tplc="1A88256C" w:tentative="1">
      <w:start w:val="1"/>
      <w:numFmt w:val="bullet"/>
      <w:lvlText w:val="•"/>
      <w:lvlJc w:val="left"/>
      <w:pPr>
        <w:tabs>
          <w:tab w:val="num" w:pos="5400"/>
        </w:tabs>
        <w:ind w:left="5400" w:hanging="360"/>
      </w:pPr>
      <w:rPr>
        <w:rFonts w:ascii="Arial" w:hAnsi="Arial" w:hint="default"/>
      </w:rPr>
    </w:lvl>
    <w:lvl w:ilvl="8" w:tplc="FEC8F8D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B7C3F11"/>
    <w:multiLevelType w:val="hybridMultilevel"/>
    <w:tmpl w:val="5630E8CC"/>
    <w:lvl w:ilvl="0" w:tplc="62B2B942">
      <w:start w:val="1"/>
      <w:numFmt w:val="bullet"/>
      <w:lvlText w:val="–"/>
      <w:lvlJc w:val="left"/>
      <w:pPr>
        <w:tabs>
          <w:tab w:val="num" w:pos="720"/>
        </w:tabs>
        <w:ind w:left="720" w:hanging="360"/>
      </w:pPr>
      <w:rPr>
        <w:rFonts w:ascii="Arial" w:hAnsi="Arial" w:hint="default"/>
      </w:rPr>
    </w:lvl>
    <w:lvl w:ilvl="1" w:tplc="BDD41666">
      <w:start w:val="1"/>
      <w:numFmt w:val="bullet"/>
      <w:lvlText w:val="–"/>
      <w:lvlJc w:val="left"/>
      <w:pPr>
        <w:tabs>
          <w:tab w:val="num" w:pos="1440"/>
        </w:tabs>
        <w:ind w:left="1440" w:hanging="360"/>
      </w:pPr>
      <w:rPr>
        <w:rFonts w:ascii="Arial" w:hAnsi="Arial" w:hint="default"/>
      </w:rPr>
    </w:lvl>
    <w:lvl w:ilvl="2" w:tplc="B36CBB8C" w:tentative="1">
      <w:start w:val="1"/>
      <w:numFmt w:val="bullet"/>
      <w:lvlText w:val="–"/>
      <w:lvlJc w:val="left"/>
      <w:pPr>
        <w:tabs>
          <w:tab w:val="num" w:pos="2160"/>
        </w:tabs>
        <w:ind w:left="2160" w:hanging="360"/>
      </w:pPr>
      <w:rPr>
        <w:rFonts w:ascii="Arial" w:hAnsi="Arial" w:hint="default"/>
      </w:rPr>
    </w:lvl>
    <w:lvl w:ilvl="3" w:tplc="7B70F5C8" w:tentative="1">
      <w:start w:val="1"/>
      <w:numFmt w:val="bullet"/>
      <w:lvlText w:val="–"/>
      <w:lvlJc w:val="left"/>
      <w:pPr>
        <w:tabs>
          <w:tab w:val="num" w:pos="2880"/>
        </w:tabs>
        <w:ind w:left="2880" w:hanging="360"/>
      </w:pPr>
      <w:rPr>
        <w:rFonts w:ascii="Arial" w:hAnsi="Arial" w:hint="default"/>
      </w:rPr>
    </w:lvl>
    <w:lvl w:ilvl="4" w:tplc="8AFA4310" w:tentative="1">
      <w:start w:val="1"/>
      <w:numFmt w:val="bullet"/>
      <w:lvlText w:val="–"/>
      <w:lvlJc w:val="left"/>
      <w:pPr>
        <w:tabs>
          <w:tab w:val="num" w:pos="3600"/>
        </w:tabs>
        <w:ind w:left="3600" w:hanging="360"/>
      </w:pPr>
      <w:rPr>
        <w:rFonts w:ascii="Arial" w:hAnsi="Arial" w:hint="default"/>
      </w:rPr>
    </w:lvl>
    <w:lvl w:ilvl="5" w:tplc="384C3730" w:tentative="1">
      <w:start w:val="1"/>
      <w:numFmt w:val="bullet"/>
      <w:lvlText w:val="–"/>
      <w:lvlJc w:val="left"/>
      <w:pPr>
        <w:tabs>
          <w:tab w:val="num" w:pos="4320"/>
        </w:tabs>
        <w:ind w:left="4320" w:hanging="360"/>
      </w:pPr>
      <w:rPr>
        <w:rFonts w:ascii="Arial" w:hAnsi="Arial" w:hint="default"/>
      </w:rPr>
    </w:lvl>
    <w:lvl w:ilvl="6" w:tplc="915E6EDA" w:tentative="1">
      <w:start w:val="1"/>
      <w:numFmt w:val="bullet"/>
      <w:lvlText w:val="–"/>
      <w:lvlJc w:val="left"/>
      <w:pPr>
        <w:tabs>
          <w:tab w:val="num" w:pos="5040"/>
        </w:tabs>
        <w:ind w:left="5040" w:hanging="360"/>
      </w:pPr>
      <w:rPr>
        <w:rFonts w:ascii="Arial" w:hAnsi="Arial" w:hint="default"/>
      </w:rPr>
    </w:lvl>
    <w:lvl w:ilvl="7" w:tplc="35602D84" w:tentative="1">
      <w:start w:val="1"/>
      <w:numFmt w:val="bullet"/>
      <w:lvlText w:val="–"/>
      <w:lvlJc w:val="left"/>
      <w:pPr>
        <w:tabs>
          <w:tab w:val="num" w:pos="5760"/>
        </w:tabs>
        <w:ind w:left="5760" w:hanging="360"/>
      </w:pPr>
      <w:rPr>
        <w:rFonts w:ascii="Arial" w:hAnsi="Arial" w:hint="default"/>
      </w:rPr>
    </w:lvl>
    <w:lvl w:ilvl="8" w:tplc="9DDC6C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731316"/>
    <w:multiLevelType w:val="hybridMultilevel"/>
    <w:tmpl w:val="DB68A706"/>
    <w:lvl w:ilvl="0" w:tplc="10C6C7D4">
      <w:start w:val="1"/>
      <w:numFmt w:val="bullet"/>
      <w:lvlText w:val="–"/>
      <w:lvlJc w:val="left"/>
      <w:pPr>
        <w:tabs>
          <w:tab w:val="num" w:pos="720"/>
        </w:tabs>
        <w:ind w:left="720" w:hanging="360"/>
      </w:pPr>
      <w:rPr>
        <w:rFonts w:ascii="Arial" w:hAnsi="Arial" w:hint="default"/>
      </w:rPr>
    </w:lvl>
    <w:lvl w:ilvl="1" w:tplc="C758EEBC">
      <w:start w:val="1"/>
      <w:numFmt w:val="bullet"/>
      <w:lvlText w:val="–"/>
      <w:lvlJc w:val="left"/>
      <w:pPr>
        <w:tabs>
          <w:tab w:val="num" w:pos="1440"/>
        </w:tabs>
        <w:ind w:left="1440" w:hanging="360"/>
      </w:pPr>
      <w:rPr>
        <w:rFonts w:ascii="Arial" w:hAnsi="Arial" w:hint="default"/>
      </w:rPr>
    </w:lvl>
    <w:lvl w:ilvl="2" w:tplc="3B242F6E">
      <w:numFmt w:val="bullet"/>
      <w:lvlText w:val="•"/>
      <w:lvlJc w:val="left"/>
      <w:pPr>
        <w:tabs>
          <w:tab w:val="num" w:pos="2160"/>
        </w:tabs>
        <w:ind w:left="2160" w:hanging="360"/>
      </w:pPr>
      <w:rPr>
        <w:rFonts w:ascii="Arial" w:hAnsi="Arial" w:hint="default"/>
      </w:rPr>
    </w:lvl>
    <w:lvl w:ilvl="3" w:tplc="E54E7E60">
      <w:start w:val="1"/>
      <w:numFmt w:val="bullet"/>
      <w:lvlText w:val="–"/>
      <w:lvlJc w:val="left"/>
      <w:pPr>
        <w:tabs>
          <w:tab w:val="num" w:pos="2880"/>
        </w:tabs>
        <w:ind w:left="2880" w:hanging="360"/>
      </w:pPr>
      <w:rPr>
        <w:rFonts w:ascii="Arial" w:hAnsi="Arial" w:hint="default"/>
      </w:rPr>
    </w:lvl>
    <w:lvl w:ilvl="4" w:tplc="97B473CC">
      <w:start w:val="1"/>
      <w:numFmt w:val="bullet"/>
      <w:lvlText w:val="–"/>
      <w:lvlJc w:val="left"/>
      <w:pPr>
        <w:tabs>
          <w:tab w:val="num" w:pos="3600"/>
        </w:tabs>
        <w:ind w:left="3600" w:hanging="360"/>
      </w:pPr>
      <w:rPr>
        <w:rFonts w:ascii="Arial" w:hAnsi="Arial" w:hint="default"/>
      </w:rPr>
    </w:lvl>
    <w:lvl w:ilvl="5" w:tplc="DF24EACE" w:tentative="1">
      <w:start w:val="1"/>
      <w:numFmt w:val="bullet"/>
      <w:lvlText w:val="–"/>
      <w:lvlJc w:val="left"/>
      <w:pPr>
        <w:tabs>
          <w:tab w:val="num" w:pos="4320"/>
        </w:tabs>
        <w:ind w:left="4320" w:hanging="360"/>
      </w:pPr>
      <w:rPr>
        <w:rFonts w:ascii="Arial" w:hAnsi="Arial" w:hint="default"/>
      </w:rPr>
    </w:lvl>
    <w:lvl w:ilvl="6" w:tplc="75604452" w:tentative="1">
      <w:start w:val="1"/>
      <w:numFmt w:val="bullet"/>
      <w:lvlText w:val="–"/>
      <w:lvlJc w:val="left"/>
      <w:pPr>
        <w:tabs>
          <w:tab w:val="num" w:pos="5040"/>
        </w:tabs>
        <w:ind w:left="5040" w:hanging="360"/>
      </w:pPr>
      <w:rPr>
        <w:rFonts w:ascii="Arial" w:hAnsi="Arial" w:hint="default"/>
      </w:rPr>
    </w:lvl>
    <w:lvl w:ilvl="7" w:tplc="4D24EC68" w:tentative="1">
      <w:start w:val="1"/>
      <w:numFmt w:val="bullet"/>
      <w:lvlText w:val="–"/>
      <w:lvlJc w:val="left"/>
      <w:pPr>
        <w:tabs>
          <w:tab w:val="num" w:pos="5760"/>
        </w:tabs>
        <w:ind w:left="5760" w:hanging="360"/>
      </w:pPr>
      <w:rPr>
        <w:rFonts w:ascii="Arial" w:hAnsi="Arial" w:hint="default"/>
      </w:rPr>
    </w:lvl>
    <w:lvl w:ilvl="8" w:tplc="14C068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0A2BB4"/>
    <w:multiLevelType w:val="hybridMultilevel"/>
    <w:tmpl w:val="B108F8F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E2F2789"/>
    <w:multiLevelType w:val="hybridMultilevel"/>
    <w:tmpl w:val="D26C3322"/>
    <w:lvl w:ilvl="0" w:tplc="F96AF812">
      <w:start w:val="1"/>
      <w:numFmt w:val="bullet"/>
      <w:lvlText w:val="–"/>
      <w:lvlJc w:val="left"/>
      <w:pPr>
        <w:tabs>
          <w:tab w:val="num" w:pos="720"/>
        </w:tabs>
        <w:ind w:left="720" w:hanging="360"/>
      </w:pPr>
      <w:rPr>
        <w:rFonts w:ascii="Arial" w:hAnsi="Arial" w:hint="default"/>
      </w:rPr>
    </w:lvl>
    <w:lvl w:ilvl="1" w:tplc="83EEE2AA">
      <w:start w:val="1"/>
      <w:numFmt w:val="bullet"/>
      <w:lvlText w:val="–"/>
      <w:lvlJc w:val="left"/>
      <w:pPr>
        <w:tabs>
          <w:tab w:val="num" w:pos="1440"/>
        </w:tabs>
        <w:ind w:left="1440" w:hanging="360"/>
      </w:pPr>
      <w:rPr>
        <w:rFonts w:ascii="Arial" w:hAnsi="Arial" w:hint="default"/>
      </w:rPr>
    </w:lvl>
    <w:lvl w:ilvl="2" w:tplc="57F85ACC">
      <w:numFmt w:val="bullet"/>
      <w:lvlText w:val="•"/>
      <w:lvlJc w:val="left"/>
      <w:pPr>
        <w:tabs>
          <w:tab w:val="num" w:pos="2160"/>
        </w:tabs>
        <w:ind w:left="2160" w:hanging="360"/>
      </w:pPr>
      <w:rPr>
        <w:rFonts w:ascii="Arial" w:hAnsi="Arial" w:hint="default"/>
      </w:rPr>
    </w:lvl>
    <w:lvl w:ilvl="3" w:tplc="B2700FD6" w:tentative="1">
      <w:start w:val="1"/>
      <w:numFmt w:val="bullet"/>
      <w:lvlText w:val="–"/>
      <w:lvlJc w:val="left"/>
      <w:pPr>
        <w:tabs>
          <w:tab w:val="num" w:pos="2880"/>
        </w:tabs>
        <w:ind w:left="2880" w:hanging="360"/>
      </w:pPr>
      <w:rPr>
        <w:rFonts w:ascii="Arial" w:hAnsi="Arial" w:hint="default"/>
      </w:rPr>
    </w:lvl>
    <w:lvl w:ilvl="4" w:tplc="024C9700" w:tentative="1">
      <w:start w:val="1"/>
      <w:numFmt w:val="bullet"/>
      <w:lvlText w:val="–"/>
      <w:lvlJc w:val="left"/>
      <w:pPr>
        <w:tabs>
          <w:tab w:val="num" w:pos="3600"/>
        </w:tabs>
        <w:ind w:left="3600" w:hanging="360"/>
      </w:pPr>
      <w:rPr>
        <w:rFonts w:ascii="Arial" w:hAnsi="Arial" w:hint="default"/>
      </w:rPr>
    </w:lvl>
    <w:lvl w:ilvl="5" w:tplc="85C6A560" w:tentative="1">
      <w:start w:val="1"/>
      <w:numFmt w:val="bullet"/>
      <w:lvlText w:val="–"/>
      <w:lvlJc w:val="left"/>
      <w:pPr>
        <w:tabs>
          <w:tab w:val="num" w:pos="4320"/>
        </w:tabs>
        <w:ind w:left="4320" w:hanging="360"/>
      </w:pPr>
      <w:rPr>
        <w:rFonts w:ascii="Arial" w:hAnsi="Arial" w:hint="default"/>
      </w:rPr>
    </w:lvl>
    <w:lvl w:ilvl="6" w:tplc="E5C07A04" w:tentative="1">
      <w:start w:val="1"/>
      <w:numFmt w:val="bullet"/>
      <w:lvlText w:val="–"/>
      <w:lvlJc w:val="left"/>
      <w:pPr>
        <w:tabs>
          <w:tab w:val="num" w:pos="5040"/>
        </w:tabs>
        <w:ind w:left="5040" w:hanging="360"/>
      </w:pPr>
      <w:rPr>
        <w:rFonts w:ascii="Arial" w:hAnsi="Arial" w:hint="default"/>
      </w:rPr>
    </w:lvl>
    <w:lvl w:ilvl="7" w:tplc="6386A932" w:tentative="1">
      <w:start w:val="1"/>
      <w:numFmt w:val="bullet"/>
      <w:lvlText w:val="–"/>
      <w:lvlJc w:val="left"/>
      <w:pPr>
        <w:tabs>
          <w:tab w:val="num" w:pos="5760"/>
        </w:tabs>
        <w:ind w:left="5760" w:hanging="360"/>
      </w:pPr>
      <w:rPr>
        <w:rFonts w:ascii="Arial" w:hAnsi="Arial" w:hint="default"/>
      </w:rPr>
    </w:lvl>
    <w:lvl w:ilvl="8" w:tplc="649AC7B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17"/>
  </w:num>
  <w:num w:numId="4">
    <w:abstractNumId w:val="5"/>
  </w:num>
  <w:num w:numId="5">
    <w:abstractNumId w:val="8"/>
  </w:num>
  <w:num w:numId="6">
    <w:abstractNumId w:val="12"/>
  </w:num>
  <w:num w:numId="7">
    <w:abstractNumId w:val="16"/>
  </w:num>
  <w:num w:numId="8">
    <w:abstractNumId w:val="18"/>
  </w:num>
  <w:num w:numId="9">
    <w:abstractNumId w:val="11"/>
  </w:num>
  <w:num w:numId="10">
    <w:abstractNumId w:val="7"/>
  </w:num>
  <w:num w:numId="11">
    <w:abstractNumId w:val="3"/>
  </w:num>
  <w:num w:numId="12">
    <w:abstractNumId w:val="2"/>
  </w:num>
  <w:num w:numId="13">
    <w:abstractNumId w:val="1"/>
  </w:num>
  <w:num w:numId="14">
    <w:abstractNumId w:val="14"/>
  </w:num>
  <w:num w:numId="15">
    <w:abstractNumId w:val="10"/>
  </w:num>
  <w:num w:numId="16">
    <w:abstractNumId w:val="9"/>
  </w:num>
  <w:num w:numId="17">
    <w:abstractNumId w:val="6"/>
  </w:num>
  <w:num w:numId="18">
    <w:abstractNumId w:val="13"/>
  </w:num>
  <w:num w:numId="1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2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0D8"/>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BCF"/>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77FC5"/>
    <w:rsid w:val="00080306"/>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7E0"/>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397"/>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E0C"/>
    <w:rsid w:val="00121F50"/>
    <w:rsid w:val="00122084"/>
    <w:rsid w:val="001228E0"/>
    <w:rsid w:val="001234A9"/>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7AF"/>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0DDE"/>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BC"/>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183"/>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154"/>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00A"/>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F8F"/>
    <w:rsid w:val="002600DD"/>
    <w:rsid w:val="00260DB3"/>
    <w:rsid w:val="0026135F"/>
    <w:rsid w:val="002620CD"/>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D65"/>
    <w:rsid w:val="00271EBC"/>
    <w:rsid w:val="00272022"/>
    <w:rsid w:val="002722F3"/>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3CA"/>
    <w:rsid w:val="002838B1"/>
    <w:rsid w:val="00283ED9"/>
    <w:rsid w:val="002842B7"/>
    <w:rsid w:val="00285522"/>
    <w:rsid w:val="00285A78"/>
    <w:rsid w:val="00285B5B"/>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943"/>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5D0"/>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AF6"/>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4C"/>
    <w:rsid w:val="003729EB"/>
    <w:rsid w:val="00372C6A"/>
    <w:rsid w:val="00372EB1"/>
    <w:rsid w:val="00373022"/>
    <w:rsid w:val="00373391"/>
    <w:rsid w:val="003737CD"/>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584"/>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5E"/>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4DB"/>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96"/>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365B"/>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1D3D"/>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64"/>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75B"/>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252"/>
    <w:rsid w:val="004B1379"/>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66A2"/>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2A8"/>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07D44"/>
    <w:rsid w:val="006102EF"/>
    <w:rsid w:val="0061056F"/>
    <w:rsid w:val="006105BA"/>
    <w:rsid w:val="00610ED2"/>
    <w:rsid w:val="00611B37"/>
    <w:rsid w:val="006123E9"/>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76F"/>
    <w:rsid w:val="00621F15"/>
    <w:rsid w:val="0062254D"/>
    <w:rsid w:val="0062259A"/>
    <w:rsid w:val="00623616"/>
    <w:rsid w:val="00623840"/>
    <w:rsid w:val="0062384B"/>
    <w:rsid w:val="00623BE4"/>
    <w:rsid w:val="00623CAF"/>
    <w:rsid w:val="006243EA"/>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141"/>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D73"/>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5C92"/>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14B"/>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404"/>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81E"/>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32C"/>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1ED1"/>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A8A"/>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57A4"/>
    <w:rsid w:val="008165F8"/>
    <w:rsid w:val="0081660F"/>
    <w:rsid w:val="00816B04"/>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A3F"/>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9A1"/>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4D19"/>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559D"/>
    <w:rsid w:val="00885B7F"/>
    <w:rsid w:val="00885E21"/>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65"/>
    <w:rsid w:val="00995E73"/>
    <w:rsid w:val="00995EFD"/>
    <w:rsid w:val="00996552"/>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4FBE"/>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A7E"/>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899"/>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9ED"/>
    <w:rsid w:val="00A97FE8"/>
    <w:rsid w:val="00AA02D5"/>
    <w:rsid w:val="00AA0318"/>
    <w:rsid w:val="00AA05D2"/>
    <w:rsid w:val="00AA0E69"/>
    <w:rsid w:val="00AA0F9E"/>
    <w:rsid w:val="00AA1761"/>
    <w:rsid w:val="00AA18B9"/>
    <w:rsid w:val="00AA1A07"/>
    <w:rsid w:val="00AA22ED"/>
    <w:rsid w:val="00AA2EA0"/>
    <w:rsid w:val="00AA2FAF"/>
    <w:rsid w:val="00AA33C8"/>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D5E"/>
    <w:rsid w:val="00AD72A9"/>
    <w:rsid w:val="00AD72AC"/>
    <w:rsid w:val="00AD743E"/>
    <w:rsid w:val="00AD74E4"/>
    <w:rsid w:val="00AD753F"/>
    <w:rsid w:val="00AD79B6"/>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1C6"/>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6DF"/>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3A3"/>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1D36"/>
    <w:rsid w:val="00B623E1"/>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40E"/>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2E63"/>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E65"/>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530"/>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0A"/>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3EF"/>
    <w:rsid w:val="00C704A0"/>
    <w:rsid w:val="00C708C6"/>
    <w:rsid w:val="00C70DF8"/>
    <w:rsid w:val="00C70ED9"/>
    <w:rsid w:val="00C70F82"/>
    <w:rsid w:val="00C7110B"/>
    <w:rsid w:val="00C71477"/>
    <w:rsid w:val="00C714E9"/>
    <w:rsid w:val="00C714FA"/>
    <w:rsid w:val="00C71746"/>
    <w:rsid w:val="00C71AEA"/>
    <w:rsid w:val="00C71E6A"/>
    <w:rsid w:val="00C720E1"/>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B86"/>
    <w:rsid w:val="00CA2CC1"/>
    <w:rsid w:val="00CA311A"/>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1BF"/>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C90"/>
    <w:rsid w:val="00CF5FF0"/>
    <w:rsid w:val="00CF61D9"/>
    <w:rsid w:val="00CF6ACE"/>
    <w:rsid w:val="00CF754B"/>
    <w:rsid w:val="00CF7897"/>
    <w:rsid w:val="00CF7A19"/>
    <w:rsid w:val="00D00352"/>
    <w:rsid w:val="00D009C6"/>
    <w:rsid w:val="00D00AA3"/>
    <w:rsid w:val="00D00BFC"/>
    <w:rsid w:val="00D00E0A"/>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8C"/>
    <w:rsid w:val="00D123FF"/>
    <w:rsid w:val="00D12412"/>
    <w:rsid w:val="00D133A0"/>
    <w:rsid w:val="00D136E2"/>
    <w:rsid w:val="00D137A7"/>
    <w:rsid w:val="00D139E2"/>
    <w:rsid w:val="00D13B9F"/>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975"/>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A6C"/>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AF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5B4"/>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46A"/>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31A"/>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796"/>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246"/>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4381"/>
    <w:rsid w:val="00EC4DEE"/>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C3D"/>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68"/>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008"/>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8F2"/>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AD3"/>
    <w:rsid w:val="00F75C21"/>
    <w:rsid w:val="00F767F5"/>
    <w:rsid w:val="00F76BB9"/>
    <w:rsid w:val="00F76F22"/>
    <w:rsid w:val="00F772D0"/>
    <w:rsid w:val="00F775D3"/>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2972"/>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62A"/>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32C"/>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Reference">
    <w:name w:val="Reference"/>
    <w:basedOn w:val="a"/>
    <w:rsid w:val="00A97321"/>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rsid w:val="00D40C28"/>
  </w:style>
  <w:style w:type="character" w:customStyle="1" w:styleId="2Char">
    <w:name w:val="标题 2 Char"/>
    <w:basedOn w:val="a0"/>
    <w:link w:val="2"/>
    <w:rsid w:val="00B9640E"/>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3263">
      <w:bodyDiv w:val="1"/>
      <w:marLeft w:val="0"/>
      <w:marRight w:val="0"/>
      <w:marTop w:val="0"/>
      <w:marBottom w:val="0"/>
      <w:divBdr>
        <w:top w:val="none" w:sz="0" w:space="0" w:color="auto"/>
        <w:left w:val="none" w:sz="0" w:space="0" w:color="auto"/>
        <w:bottom w:val="none" w:sz="0" w:space="0" w:color="auto"/>
        <w:right w:val="none" w:sz="0" w:space="0" w:color="auto"/>
      </w:divBdr>
      <w:divsChild>
        <w:div w:id="202403038">
          <w:marLeft w:val="1166"/>
          <w:marRight w:val="0"/>
          <w:marTop w:val="65"/>
          <w:marBottom w:val="0"/>
          <w:divBdr>
            <w:top w:val="none" w:sz="0" w:space="0" w:color="auto"/>
            <w:left w:val="none" w:sz="0" w:space="0" w:color="auto"/>
            <w:bottom w:val="none" w:sz="0" w:space="0" w:color="auto"/>
            <w:right w:val="none" w:sz="0" w:space="0" w:color="auto"/>
          </w:divBdr>
        </w:div>
        <w:div w:id="515777748">
          <w:marLeft w:val="1166"/>
          <w:marRight w:val="0"/>
          <w:marTop w:val="65"/>
          <w:marBottom w:val="0"/>
          <w:divBdr>
            <w:top w:val="none" w:sz="0" w:space="0" w:color="auto"/>
            <w:left w:val="none" w:sz="0" w:space="0" w:color="auto"/>
            <w:bottom w:val="none" w:sz="0" w:space="0" w:color="auto"/>
            <w:right w:val="none" w:sz="0" w:space="0" w:color="auto"/>
          </w:divBdr>
        </w:div>
        <w:div w:id="373849123">
          <w:marLeft w:val="1166"/>
          <w:marRight w:val="0"/>
          <w:marTop w:val="65"/>
          <w:marBottom w:val="0"/>
          <w:divBdr>
            <w:top w:val="none" w:sz="0" w:space="0" w:color="auto"/>
            <w:left w:val="none" w:sz="0" w:space="0" w:color="auto"/>
            <w:bottom w:val="none" w:sz="0" w:space="0" w:color="auto"/>
            <w:right w:val="none" w:sz="0" w:space="0" w:color="auto"/>
          </w:divBdr>
        </w:div>
      </w:divsChild>
    </w:div>
    <w:div w:id="113058152">
      <w:bodyDiv w:val="1"/>
      <w:marLeft w:val="0"/>
      <w:marRight w:val="0"/>
      <w:marTop w:val="0"/>
      <w:marBottom w:val="0"/>
      <w:divBdr>
        <w:top w:val="none" w:sz="0" w:space="0" w:color="auto"/>
        <w:left w:val="none" w:sz="0" w:space="0" w:color="auto"/>
        <w:bottom w:val="none" w:sz="0" w:space="0" w:color="auto"/>
        <w:right w:val="none" w:sz="0" w:space="0" w:color="auto"/>
      </w:divBdr>
      <w:divsChild>
        <w:div w:id="462431070">
          <w:marLeft w:val="1166"/>
          <w:marRight w:val="0"/>
          <w:marTop w:val="65"/>
          <w:marBottom w:val="0"/>
          <w:divBdr>
            <w:top w:val="none" w:sz="0" w:space="0" w:color="auto"/>
            <w:left w:val="none" w:sz="0" w:space="0" w:color="auto"/>
            <w:bottom w:val="none" w:sz="0" w:space="0" w:color="auto"/>
            <w:right w:val="none" w:sz="0" w:space="0" w:color="auto"/>
          </w:divBdr>
        </w:div>
        <w:div w:id="1071584913">
          <w:marLeft w:val="1800"/>
          <w:marRight w:val="0"/>
          <w:marTop w:val="65"/>
          <w:marBottom w:val="0"/>
          <w:divBdr>
            <w:top w:val="none" w:sz="0" w:space="0" w:color="auto"/>
            <w:left w:val="none" w:sz="0" w:space="0" w:color="auto"/>
            <w:bottom w:val="none" w:sz="0" w:space="0" w:color="auto"/>
            <w:right w:val="none" w:sz="0" w:space="0" w:color="auto"/>
          </w:divBdr>
        </w:div>
        <w:div w:id="1338651788">
          <w:marLeft w:val="1800"/>
          <w:marRight w:val="0"/>
          <w:marTop w:val="65"/>
          <w:marBottom w:val="0"/>
          <w:divBdr>
            <w:top w:val="none" w:sz="0" w:space="0" w:color="auto"/>
            <w:left w:val="none" w:sz="0" w:space="0" w:color="auto"/>
            <w:bottom w:val="none" w:sz="0" w:space="0" w:color="auto"/>
            <w:right w:val="none" w:sz="0" w:space="0" w:color="auto"/>
          </w:divBdr>
        </w:div>
      </w:divsChild>
    </w:div>
    <w:div w:id="429082272">
      <w:bodyDiv w:val="1"/>
      <w:marLeft w:val="0"/>
      <w:marRight w:val="0"/>
      <w:marTop w:val="0"/>
      <w:marBottom w:val="0"/>
      <w:divBdr>
        <w:top w:val="none" w:sz="0" w:space="0" w:color="auto"/>
        <w:left w:val="none" w:sz="0" w:space="0" w:color="auto"/>
        <w:bottom w:val="none" w:sz="0" w:space="0" w:color="auto"/>
        <w:right w:val="none" w:sz="0" w:space="0" w:color="auto"/>
      </w:divBdr>
      <w:divsChild>
        <w:div w:id="290863726">
          <w:marLeft w:val="1166"/>
          <w:marRight w:val="0"/>
          <w:marTop w:val="72"/>
          <w:marBottom w:val="0"/>
          <w:divBdr>
            <w:top w:val="none" w:sz="0" w:space="0" w:color="auto"/>
            <w:left w:val="none" w:sz="0" w:space="0" w:color="auto"/>
            <w:bottom w:val="none" w:sz="0" w:space="0" w:color="auto"/>
            <w:right w:val="none" w:sz="0" w:space="0" w:color="auto"/>
          </w:divBdr>
        </w:div>
        <w:div w:id="684483817">
          <w:marLeft w:val="1166"/>
          <w:marRight w:val="0"/>
          <w:marTop w:val="72"/>
          <w:marBottom w:val="0"/>
          <w:divBdr>
            <w:top w:val="none" w:sz="0" w:space="0" w:color="auto"/>
            <w:left w:val="none" w:sz="0" w:space="0" w:color="auto"/>
            <w:bottom w:val="none" w:sz="0" w:space="0" w:color="auto"/>
            <w:right w:val="none" w:sz="0" w:space="0" w:color="auto"/>
          </w:divBdr>
        </w:div>
        <w:div w:id="31469185">
          <w:marLeft w:val="1166"/>
          <w:marRight w:val="0"/>
          <w:marTop w:val="72"/>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66900541">
      <w:bodyDiv w:val="1"/>
      <w:marLeft w:val="0"/>
      <w:marRight w:val="0"/>
      <w:marTop w:val="0"/>
      <w:marBottom w:val="0"/>
      <w:divBdr>
        <w:top w:val="none" w:sz="0" w:space="0" w:color="auto"/>
        <w:left w:val="none" w:sz="0" w:space="0" w:color="auto"/>
        <w:bottom w:val="none" w:sz="0" w:space="0" w:color="auto"/>
        <w:right w:val="none" w:sz="0" w:space="0" w:color="auto"/>
      </w:divBdr>
      <w:divsChild>
        <w:div w:id="503741456">
          <w:marLeft w:val="1166"/>
          <w:marRight w:val="0"/>
          <w:marTop w:val="65"/>
          <w:marBottom w:val="0"/>
          <w:divBdr>
            <w:top w:val="none" w:sz="0" w:space="0" w:color="auto"/>
            <w:left w:val="none" w:sz="0" w:space="0" w:color="auto"/>
            <w:bottom w:val="none" w:sz="0" w:space="0" w:color="auto"/>
            <w:right w:val="none" w:sz="0" w:space="0" w:color="auto"/>
          </w:divBdr>
        </w:div>
        <w:div w:id="28377108">
          <w:marLeft w:val="1166"/>
          <w:marRight w:val="0"/>
          <w:marTop w:val="65"/>
          <w:marBottom w:val="0"/>
          <w:divBdr>
            <w:top w:val="none" w:sz="0" w:space="0" w:color="auto"/>
            <w:left w:val="none" w:sz="0" w:space="0" w:color="auto"/>
            <w:bottom w:val="none" w:sz="0" w:space="0" w:color="auto"/>
            <w:right w:val="none" w:sz="0" w:space="0" w:color="auto"/>
          </w:divBdr>
        </w:div>
        <w:div w:id="576521524">
          <w:marLeft w:val="1166"/>
          <w:marRight w:val="0"/>
          <w:marTop w:val="6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27344215">
      <w:bodyDiv w:val="1"/>
      <w:marLeft w:val="0"/>
      <w:marRight w:val="0"/>
      <w:marTop w:val="0"/>
      <w:marBottom w:val="0"/>
      <w:divBdr>
        <w:top w:val="none" w:sz="0" w:space="0" w:color="auto"/>
        <w:left w:val="none" w:sz="0" w:space="0" w:color="auto"/>
        <w:bottom w:val="none" w:sz="0" w:space="0" w:color="auto"/>
        <w:right w:val="none" w:sz="0" w:space="0" w:color="auto"/>
      </w:divBdr>
      <w:divsChild>
        <w:div w:id="573274519">
          <w:marLeft w:val="547"/>
          <w:marRight w:val="0"/>
          <w:marTop w:val="96"/>
          <w:marBottom w:val="0"/>
          <w:divBdr>
            <w:top w:val="none" w:sz="0" w:space="0" w:color="auto"/>
            <w:left w:val="none" w:sz="0" w:space="0" w:color="auto"/>
            <w:bottom w:val="none" w:sz="0" w:space="0" w:color="auto"/>
            <w:right w:val="none" w:sz="0" w:space="0" w:color="auto"/>
          </w:divBdr>
        </w:div>
        <w:div w:id="2076394450">
          <w:marLeft w:val="1166"/>
          <w:marRight w:val="0"/>
          <w:marTop w:val="86"/>
          <w:marBottom w:val="0"/>
          <w:divBdr>
            <w:top w:val="none" w:sz="0" w:space="0" w:color="auto"/>
            <w:left w:val="none" w:sz="0" w:space="0" w:color="auto"/>
            <w:bottom w:val="none" w:sz="0" w:space="0" w:color="auto"/>
            <w:right w:val="none" w:sz="0" w:space="0" w:color="auto"/>
          </w:divBdr>
        </w:div>
        <w:div w:id="628172210">
          <w:marLeft w:val="1166"/>
          <w:marRight w:val="0"/>
          <w:marTop w:val="86"/>
          <w:marBottom w:val="0"/>
          <w:divBdr>
            <w:top w:val="none" w:sz="0" w:space="0" w:color="auto"/>
            <w:left w:val="none" w:sz="0" w:space="0" w:color="auto"/>
            <w:bottom w:val="none" w:sz="0" w:space="0" w:color="auto"/>
            <w:right w:val="none" w:sz="0" w:space="0" w:color="auto"/>
          </w:divBdr>
        </w:div>
        <w:div w:id="661393096">
          <w:marLeft w:val="547"/>
          <w:marRight w:val="0"/>
          <w:marTop w:val="96"/>
          <w:marBottom w:val="0"/>
          <w:divBdr>
            <w:top w:val="none" w:sz="0" w:space="0" w:color="auto"/>
            <w:left w:val="none" w:sz="0" w:space="0" w:color="auto"/>
            <w:bottom w:val="none" w:sz="0" w:space="0" w:color="auto"/>
            <w:right w:val="none" w:sz="0" w:space="0" w:color="auto"/>
          </w:divBdr>
        </w:div>
        <w:div w:id="2052529963">
          <w:marLeft w:val="1166"/>
          <w:marRight w:val="0"/>
          <w:marTop w:val="86"/>
          <w:marBottom w:val="0"/>
          <w:divBdr>
            <w:top w:val="none" w:sz="0" w:space="0" w:color="auto"/>
            <w:left w:val="none" w:sz="0" w:space="0" w:color="auto"/>
            <w:bottom w:val="none" w:sz="0" w:space="0" w:color="auto"/>
            <w:right w:val="none" w:sz="0" w:space="0" w:color="auto"/>
          </w:divBdr>
        </w:div>
        <w:div w:id="27218714">
          <w:marLeft w:val="1166"/>
          <w:marRight w:val="0"/>
          <w:marTop w:val="86"/>
          <w:marBottom w:val="0"/>
          <w:divBdr>
            <w:top w:val="none" w:sz="0" w:space="0" w:color="auto"/>
            <w:left w:val="none" w:sz="0" w:space="0" w:color="auto"/>
            <w:bottom w:val="none" w:sz="0" w:space="0" w:color="auto"/>
            <w:right w:val="none" w:sz="0" w:space="0" w:color="auto"/>
          </w:divBdr>
        </w:div>
        <w:div w:id="1997683168">
          <w:marLeft w:val="547"/>
          <w:marRight w:val="0"/>
          <w:marTop w:val="96"/>
          <w:marBottom w:val="0"/>
          <w:divBdr>
            <w:top w:val="none" w:sz="0" w:space="0" w:color="auto"/>
            <w:left w:val="none" w:sz="0" w:space="0" w:color="auto"/>
            <w:bottom w:val="none" w:sz="0" w:space="0" w:color="auto"/>
            <w:right w:val="none" w:sz="0" w:space="0" w:color="auto"/>
          </w:divBdr>
        </w:div>
        <w:div w:id="1602568622">
          <w:marLeft w:val="1166"/>
          <w:marRight w:val="0"/>
          <w:marTop w:val="86"/>
          <w:marBottom w:val="0"/>
          <w:divBdr>
            <w:top w:val="none" w:sz="0" w:space="0" w:color="auto"/>
            <w:left w:val="none" w:sz="0" w:space="0" w:color="auto"/>
            <w:bottom w:val="none" w:sz="0" w:space="0" w:color="auto"/>
            <w:right w:val="none" w:sz="0" w:space="0" w:color="auto"/>
          </w:divBdr>
        </w:div>
        <w:div w:id="385953766">
          <w:marLeft w:val="1166"/>
          <w:marRight w:val="0"/>
          <w:marTop w:val="86"/>
          <w:marBottom w:val="0"/>
          <w:divBdr>
            <w:top w:val="none" w:sz="0" w:space="0" w:color="auto"/>
            <w:left w:val="none" w:sz="0" w:space="0" w:color="auto"/>
            <w:bottom w:val="none" w:sz="0" w:space="0" w:color="auto"/>
            <w:right w:val="none" w:sz="0" w:space="0" w:color="auto"/>
          </w:divBdr>
        </w:div>
        <w:div w:id="1589117872">
          <w:marLeft w:val="547"/>
          <w:marRight w:val="0"/>
          <w:marTop w:val="96"/>
          <w:marBottom w:val="0"/>
          <w:divBdr>
            <w:top w:val="none" w:sz="0" w:space="0" w:color="auto"/>
            <w:left w:val="none" w:sz="0" w:space="0" w:color="auto"/>
            <w:bottom w:val="none" w:sz="0" w:space="0" w:color="auto"/>
            <w:right w:val="none" w:sz="0" w:space="0" w:color="auto"/>
          </w:divBdr>
        </w:div>
        <w:div w:id="651718615">
          <w:marLeft w:val="1166"/>
          <w:marRight w:val="0"/>
          <w:marTop w:val="86"/>
          <w:marBottom w:val="0"/>
          <w:divBdr>
            <w:top w:val="none" w:sz="0" w:space="0" w:color="auto"/>
            <w:left w:val="none" w:sz="0" w:space="0" w:color="auto"/>
            <w:bottom w:val="none" w:sz="0" w:space="0" w:color="auto"/>
            <w:right w:val="none" w:sz="0" w:space="0" w:color="auto"/>
          </w:divBdr>
        </w:div>
        <w:div w:id="1776123597">
          <w:marLeft w:val="1166"/>
          <w:marRight w:val="0"/>
          <w:marTop w:val="86"/>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36352768">
      <w:bodyDiv w:val="1"/>
      <w:marLeft w:val="0"/>
      <w:marRight w:val="0"/>
      <w:marTop w:val="0"/>
      <w:marBottom w:val="0"/>
      <w:divBdr>
        <w:top w:val="none" w:sz="0" w:space="0" w:color="auto"/>
        <w:left w:val="none" w:sz="0" w:space="0" w:color="auto"/>
        <w:bottom w:val="none" w:sz="0" w:space="0" w:color="auto"/>
        <w:right w:val="none" w:sz="0" w:space="0" w:color="auto"/>
      </w:divBdr>
      <w:divsChild>
        <w:div w:id="1717855089">
          <w:marLeft w:val="547"/>
          <w:marRight w:val="0"/>
          <w:marTop w:val="134"/>
          <w:marBottom w:val="0"/>
          <w:divBdr>
            <w:top w:val="none" w:sz="0" w:space="0" w:color="auto"/>
            <w:left w:val="none" w:sz="0" w:space="0" w:color="auto"/>
            <w:bottom w:val="none" w:sz="0" w:space="0" w:color="auto"/>
            <w:right w:val="none" w:sz="0" w:space="0" w:color="auto"/>
          </w:divBdr>
        </w:div>
        <w:div w:id="54014576">
          <w:marLeft w:val="1166"/>
          <w:marRight w:val="0"/>
          <w:marTop w:val="115"/>
          <w:marBottom w:val="0"/>
          <w:divBdr>
            <w:top w:val="none" w:sz="0" w:space="0" w:color="auto"/>
            <w:left w:val="none" w:sz="0" w:space="0" w:color="auto"/>
            <w:bottom w:val="none" w:sz="0" w:space="0" w:color="auto"/>
            <w:right w:val="none" w:sz="0" w:space="0" w:color="auto"/>
          </w:divBdr>
        </w:div>
        <w:div w:id="360321749">
          <w:marLeft w:val="1166"/>
          <w:marRight w:val="0"/>
          <w:marTop w:val="115"/>
          <w:marBottom w:val="0"/>
          <w:divBdr>
            <w:top w:val="none" w:sz="0" w:space="0" w:color="auto"/>
            <w:left w:val="none" w:sz="0" w:space="0" w:color="auto"/>
            <w:bottom w:val="none" w:sz="0" w:space="0" w:color="auto"/>
            <w:right w:val="none" w:sz="0" w:space="0" w:color="auto"/>
          </w:divBdr>
        </w:div>
        <w:div w:id="761804665">
          <w:marLeft w:val="547"/>
          <w:marRight w:val="0"/>
          <w:marTop w:val="134"/>
          <w:marBottom w:val="0"/>
          <w:divBdr>
            <w:top w:val="none" w:sz="0" w:space="0" w:color="auto"/>
            <w:left w:val="none" w:sz="0" w:space="0" w:color="auto"/>
            <w:bottom w:val="none" w:sz="0" w:space="0" w:color="auto"/>
            <w:right w:val="none" w:sz="0" w:space="0" w:color="auto"/>
          </w:divBdr>
        </w:div>
        <w:div w:id="251401861">
          <w:marLeft w:val="1166"/>
          <w:marRight w:val="0"/>
          <w:marTop w:val="115"/>
          <w:marBottom w:val="0"/>
          <w:divBdr>
            <w:top w:val="none" w:sz="0" w:space="0" w:color="auto"/>
            <w:left w:val="none" w:sz="0" w:space="0" w:color="auto"/>
            <w:bottom w:val="none" w:sz="0" w:space="0" w:color="auto"/>
            <w:right w:val="none" w:sz="0" w:space="0" w:color="auto"/>
          </w:divBdr>
        </w:div>
        <w:div w:id="337390964">
          <w:marLeft w:val="547"/>
          <w:marRight w:val="0"/>
          <w:marTop w:val="132"/>
          <w:marBottom w:val="0"/>
          <w:divBdr>
            <w:top w:val="none" w:sz="0" w:space="0" w:color="auto"/>
            <w:left w:val="none" w:sz="0" w:space="0" w:color="auto"/>
            <w:bottom w:val="none" w:sz="0" w:space="0" w:color="auto"/>
            <w:right w:val="none" w:sz="0" w:space="0" w:color="auto"/>
          </w:divBdr>
        </w:div>
        <w:div w:id="528642428">
          <w:marLeft w:val="1166"/>
          <w:marRight w:val="0"/>
          <w:marTop w:val="115"/>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197238229">
      <w:bodyDiv w:val="1"/>
      <w:marLeft w:val="0"/>
      <w:marRight w:val="0"/>
      <w:marTop w:val="0"/>
      <w:marBottom w:val="0"/>
      <w:divBdr>
        <w:top w:val="none" w:sz="0" w:space="0" w:color="auto"/>
        <w:left w:val="none" w:sz="0" w:space="0" w:color="auto"/>
        <w:bottom w:val="none" w:sz="0" w:space="0" w:color="auto"/>
        <w:right w:val="none" w:sz="0" w:space="0" w:color="auto"/>
      </w:divBdr>
      <w:divsChild>
        <w:div w:id="1567453512">
          <w:marLeft w:val="806"/>
          <w:marRight w:val="0"/>
          <w:marTop w:val="86"/>
          <w:marBottom w:val="0"/>
          <w:divBdr>
            <w:top w:val="none" w:sz="0" w:space="0" w:color="auto"/>
            <w:left w:val="none" w:sz="0" w:space="0" w:color="auto"/>
            <w:bottom w:val="none" w:sz="0" w:space="0" w:color="auto"/>
            <w:right w:val="none" w:sz="0" w:space="0" w:color="auto"/>
          </w:divBdr>
        </w:div>
        <w:div w:id="288897026">
          <w:marLeft w:val="806"/>
          <w:marRight w:val="0"/>
          <w:marTop w:val="86"/>
          <w:marBottom w:val="0"/>
          <w:divBdr>
            <w:top w:val="none" w:sz="0" w:space="0" w:color="auto"/>
            <w:left w:val="none" w:sz="0" w:space="0" w:color="auto"/>
            <w:bottom w:val="none" w:sz="0" w:space="0" w:color="auto"/>
            <w:right w:val="none" w:sz="0" w:space="0" w:color="auto"/>
          </w:divBdr>
        </w:div>
        <w:div w:id="1032607737">
          <w:marLeft w:val="1282"/>
          <w:marRight w:val="0"/>
          <w:marTop w:val="72"/>
          <w:marBottom w:val="0"/>
          <w:divBdr>
            <w:top w:val="none" w:sz="0" w:space="0" w:color="auto"/>
            <w:left w:val="none" w:sz="0" w:space="0" w:color="auto"/>
            <w:bottom w:val="none" w:sz="0" w:space="0" w:color="auto"/>
            <w:right w:val="none" w:sz="0" w:space="0" w:color="auto"/>
          </w:divBdr>
        </w:div>
        <w:div w:id="428624325">
          <w:marLeft w:val="1829"/>
          <w:marRight w:val="0"/>
          <w:marTop w:val="58"/>
          <w:marBottom w:val="0"/>
          <w:divBdr>
            <w:top w:val="none" w:sz="0" w:space="0" w:color="auto"/>
            <w:left w:val="none" w:sz="0" w:space="0" w:color="auto"/>
            <w:bottom w:val="none" w:sz="0" w:space="0" w:color="auto"/>
            <w:right w:val="none" w:sz="0" w:space="0" w:color="auto"/>
          </w:divBdr>
        </w:div>
        <w:div w:id="417019459">
          <w:marLeft w:val="1829"/>
          <w:marRight w:val="0"/>
          <w:marTop w:val="58"/>
          <w:marBottom w:val="0"/>
          <w:divBdr>
            <w:top w:val="none" w:sz="0" w:space="0" w:color="auto"/>
            <w:left w:val="none" w:sz="0" w:space="0" w:color="auto"/>
            <w:bottom w:val="none" w:sz="0" w:space="0" w:color="auto"/>
            <w:right w:val="none" w:sz="0" w:space="0" w:color="auto"/>
          </w:divBdr>
        </w:div>
        <w:div w:id="1902904167">
          <w:marLeft w:val="1829"/>
          <w:marRight w:val="0"/>
          <w:marTop w:val="58"/>
          <w:marBottom w:val="0"/>
          <w:divBdr>
            <w:top w:val="none" w:sz="0" w:space="0" w:color="auto"/>
            <w:left w:val="none" w:sz="0" w:space="0" w:color="auto"/>
            <w:bottom w:val="none" w:sz="0" w:space="0" w:color="auto"/>
            <w:right w:val="none" w:sz="0" w:space="0" w:color="auto"/>
          </w:divBdr>
        </w:div>
        <w:div w:id="1899438438">
          <w:marLeft w:val="1829"/>
          <w:marRight w:val="0"/>
          <w:marTop w:val="58"/>
          <w:marBottom w:val="0"/>
          <w:divBdr>
            <w:top w:val="none" w:sz="0" w:space="0" w:color="auto"/>
            <w:left w:val="none" w:sz="0" w:space="0" w:color="auto"/>
            <w:bottom w:val="none" w:sz="0" w:space="0" w:color="auto"/>
            <w:right w:val="none" w:sz="0" w:space="0" w:color="auto"/>
          </w:divBdr>
        </w:div>
      </w:divsChild>
    </w:div>
    <w:div w:id="1403091946">
      <w:bodyDiv w:val="1"/>
      <w:marLeft w:val="0"/>
      <w:marRight w:val="0"/>
      <w:marTop w:val="0"/>
      <w:marBottom w:val="0"/>
      <w:divBdr>
        <w:top w:val="none" w:sz="0" w:space="0" w:color="auto"/>
        <w:left w:val="none" w:sz="0" w:space="0" w:color="auto"/>
        <w:bottom w:val="none" w:sz="0" w:space="0" w:color="auto"/>
        <w:right w:val="none" w:sz="0" w:space="0" w:color="auto"/>
      </w:divBdr>
      <w:divsChild>
        <w:div w:id="1544052861">
          <w:marLeft w:val="806"/>
          <w:marRight w:val="0"/>
          <w:marTop w:val="86"/>
          <w:marBottom w:val="0"/>
          <w:divBdr>
            <w:top w:val="none" w:sz="0" w:space="0" w:color="auto"/>
            <w:left w:val="none" w:sz="0" w:space="0" w:color="auto"/>
            <w:bottom w:val="none" w:sz="0" w:space="0" w:color="auto"/>
            <w:right w:val="none" w:sz="0" w:space="0" w:color="auto"/>
          </w:divBdr>
        </w:div>
        <w:div w:id="131140035">
          <w:marLeft w:val="1282"/>
          <w:marRight w:val="0"/>
          <w:marTop w:val="72"/>
          <w:marBottom w:val="0"/>
          <w:divBdr>
            <w:top w:val="none" w:sz="0" w:space="0" w:color="auto"/>
            <w:left w:val="none" w:sz="0" w:space="0" w:color="auto"/>
            <w:bottom w:val="none" w:sz="0" w:space="0" w:color="auto"/>
            <w:right w:val="none" w:sz="0" w:space="0" w:color="auto"/>
          </w:divBdr>
        </w:div>
        <w:div w:id="967514473">
          <w:marLeft w:val="1282"/>
          <w:marRight w:val="0"/>
          <w:marTop w:val="72"/>
          <w:marBottom w:val="0"/>
          <w:divBdr>
            <w:top w:val="none" w:sz="0" w:space="0" w:color="auto"/>
            <w:left w:val="none" w:sz="0" w:space="0" w:color="auto"/>
            <w:bottom w:val="none" w:sz="0" w:space="0" w:color="auto"/>
            <w:right w:val="none" w:sz="0" w:space="0" w:color="auto"/>
          </w:divBdr>
        </w:div>
        <w:div w:id="1596135217">
          <w:marLeft w:val="1282"/>
          <w:marRight w:val="0"/>
          <w:marTop w:val="72"/>
          <w:marBottom w:val="0"/>
          <w:divBdr>
            <w:top w:val="none" w:sz="0" w:space="0" w:color="auto"/>
            <w:left w:val="none" w:sz="0" w:space="0" w:color="auto"/>
            <w:bottom w:val="none" w:sz="0" w:space="0" w:color="auto"/>
            <w:right w:val="none" w:sz="0" w:space="0" w:color="auto"/>
          </w:divBdr>
        </w:div>
        <w:div w:id="2031058441">
          <w:marLeft w:val="806"/>
          <w:marRight w:val="0"/>
          <w:marTop w:val="86"/>
          <w:marBottom w:val="0"/>
          <w:divBdr>
            <w:top w:val="none" w:sz="0" w:space="0" w:color="auto"/>
            <w:left w:val="none" w:sz="0" w:space="0" w:color="auto"/>
            <w:bottom w:val="none" w:sz="0" w:space="0" w:color="auto"/>
            <w:right w:val="none" w:sz="0" w:space="0" w:color="auto"/>
          </w:divBdr>
        </w:div>
        <w:div w:id="15356138">
          <w:marLeft w:val="806"/>
          <w:marRight w:val="0"/>
          <w:marTop w:val="86"/>
          <w:marBottom w:val="0"/>
          <w:divBdr>
            <w:top w:val="none" w:sz="0" w:space="0" w:color="auto"/>
            <w:left w:val="none" w:sz="0" w:space="0" w:color="auto"/>
            <w:bottom w:val="none" w:sz="0" w:space="0" w:color="auto"/>
            <w:right w:val="none" w:sz="0" w:space="0" w:color="auto"/>
          </w:divBdr>
        </w:div>
      </w:divsChild>
    </w:div>
    <w:div w:id="1404260364">
      <w:bodyDiv w:val="1"/>
      <w:marLeft w:val="0"/>
      <w:marRight w:val="0"/>
      <w:marTop w:val="0"/>
      <w:marBottom w:val="0"/>
      <w:divBdr>
        <w:top w:val="none" w:sz="0" w:space="0" w:color="auto"/>
        <w:left w:val="none" w:sz="0" w:space="0" w:color="auto"/>
        <w:bottom w:val="none" w:sz="0" w:space="0" w:color="auto"/>
        <w:right w:val="none" w:sz="0" w:space="0" w:color="auto"/>
      </w:divBdr>
      <w:divsChild>
        <w:div w:id="35665300">
          <w:marLeft w:val="1166"/>
          <w:marRight w:val="0"/>
          <w:marTop w:val="65"/>
          <w:marBottom w:val="0"/>
          <w:divBdr>
            <w:top w:val="none" w:sz="0" w:space="0" w:color="auto"/>
            <w:left w:val="none" w:sz="0" w:space="0" w:color="auto"/>
            <w:bottom w:val="none" w:sz="0" w:space="0" w:color="auto"/>
            <w:right w:val="none" w:sz="0" w:space="0" w:color="auto"/>
          </w:divBdr>
        </w:div>
        <w:div w:id="1455640126">
          <w:marLeft w:val="1166"/>
          <w:marRight w:val="0"/>
          <w:marTop w:val="65"/>
          <w:marBottom w:val="0"/>
          <w:divBdr>
            <w:top w:val="none" w:sz="0" w:space="0" w:color="auto"/>
            <w:left w:val="none" w:sz="0" w:space="0" w:color="auto"/>
            <w:bottom w:val="none" w:sz="0" w:space="0" w:color="auto"/>
            <w:right w:val="none" w:sz="0" w:space="0" w:color="auto"/>
          </w:divBdr>
        </w:div>
        <w:div w:id="2044355868">
          <w:marLeft w:val="1166"/>
          <w:marRight w:val="0"/>
          <w:marTop w:val="65"/>
          <w:marBottom w:val="0"/>
          <w:divBdr>
            <w:top w:val="none" w:sz="0" w:space="0" w:color="auto"/>
            <w:left w:val="none" w:sz="0" w:space="0" w:color="auto"/>
            <w:bottom w:val="none" w:sz="0" w:space="0" w:color="auto"/>
            <w:right w:val="none" w:sz="0" w:space="0" w:color="auto"/>
          </w:divBdr>
        </w:div>
        <w:div w:id="169494228">
          <w:marLeft w:val="1166"/>
          <w:marRight w:val="0"/>
          <w:marTop w:val="65"/>
          <w:marBottom w:val="0"/>
          <w:divBdr>
            <w:top w:val="none" w:sz="0" w:space="0" w:color="auto"/>
            <w:left w:val="none" w:sz="0" w:space="0" w:color="auto"/>
            <w:bottom w:val="none" w:sz="0" w:space="0" w:color="auto"/>
            <w:right w:val="none" w:sz="0" w:space="0" w:color="auto"/>
          </w:divBdr>
        </w:div>
        <w:div w:id="159974206">
          <w:marLeft w:val="1166"/>
          <w:marRight w:val="0"/>
          <w:marTop w:val="65"/>
          <w:marBottom w:val="0"/>
          <w:divBdr>
            <w:top w:val="none" w:sz="0" w:space="0" w:color="auto"/>
            <w:left w:val="none" w:sz="0" w:space="0" w:color="auto"/>
            <w:bottom w:val="none" w:sz="0" w:space="0" w:color="auto"/>
            <w:right w:val="none" w:sz="0" w:space="0" w:color="auto"/>
          </w:divBdr>
        </w:div>
        <w:div w:id="2024015134">
          <w:marLeft w:val="1166"/>
          <w:marRight w:val="0"/>
          <w:marTop w:val="65"/>
          <w:marBottom w:val="0"/>
          <w:divBdr>
            <w:top w:val="none" w:sz="0" w:space="0" w:color="auto"/>
            <w:left w:val="none" w:sz="0" w:space="0" w:color="auto"/>
            <w:bottom w:val="none" w:sz="0" w:space="0" w:color="auto"/>
            <w:right w:val="none" w:sz="0" w:space="0" w:color="auto"/>
          </w:divBdr>
        </w:div>
      </w:divsChild>
    </w:div>
    <w:div w:id="1464344526">
      <w:bodyDiv w:val="1"/>
      <w:marLeft w:val="0"/>
      <w:marRight w:val="0"/>
      <w:marTop w:val="0"/>
      <w:marBottom w:val="0"/>
      <w:divBdr>
        <w:top w:val="none" w:sz="0" w:space="0" w:color="auto"/>
        <w:left w:val="none" w:sz="0" w:space="0" w:color="auto"/>
        <w:bottom w:val="none" w:sz="0" w:space="0" w:color="auto"/>
        <w:right w:val="none" w:sz="0" w:space="0" w:color="auto"/>
      </w:divBdr>
      <w:divsChild>
        <w:div w:id="2069331840">
          <w:marLeft w:val="547"/>
          <w:marRight w:val="0"/>
          <w:marTop w:val="134"/>
          <w:marBottom w:val="0"/>
          <w:divBdr>
            <w:top w:val="none" w:sz="0" w:space="0" w:color="auto"/>
            <w:left w:val="none" w:sz="0" w:space="0" w:color="auto"/>
            <w:bottom w:val="none" w:sz="0" w:space="0" w:color="auto"/>
            <w:right w:val="none" w:sz="0" w:space="0" w:color="auto"/>
          </w:divBdr>
        </w:div>
        <w:div w:id="1026636112">
          <w:marLeft w:val="547"/>
          <w:marRight w:val="0"/>
          <w:marTop w:val="134"/>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58738966">
      <w:bodyDiv w:val="1"/>
      <w:marLeft w:val="0"/>
      <w:marRight w:val="0"/>
      <w:marTop w:val="0"/>
      <w:marBottom w:val="0"/>
      <w:divBdr>
        <w:top w:val="none" w:sz="0" w:space="0" w:color="auto"/>
        <w:left w:val="none" w:sz="0" w:space="0" w:color="auto"/>
        <w:bottom w:val="none" w:sz="0" w:space="0" w:color="auto"/>
        <w:right w:val="none" w:sz="0" w:space="0" w:color="auto"/>
      </w:divBdr>
      <w:divsChild>
        <w:div w:id="1659729025">
          <w:marLeft w:val="547"/>
          <w:marRight w:val="0"/>
          <w:marTop w:val="96"/>
          <w:marBottom w:val="0"/>
          <w:divBdr>
            <w:top w:val="none" w:sz="0" w:space="0" w:color="auto"/>
            <w:left w:val="none" w:sz="0" w:space="0" w:color="auto"/>
            <w:bottom w:val="none" w:sz="0" w:space="0" w:color="auto"/>
            <w:right w:val="none" w:sz="0" w:space="0" w:color="auto"/>
          </w:divBdr>
        </w:div>
        <w:div w:id="1057363466">
          <w:marLeft w:val="1080"/>
          <w:marRight w:val="0"/>
          <w:marTop w:val="86"/>
          <w:marBottom w:val="0"/>
          <w:divBdr>
            <w:top w:val="none" w:sz="0" w:space="0" w:color="auto"/>
            <w:left w:val="none" w:sz="0" w:space="0" w:color="auto"/>
            <w:bottom w:val="none" w:sz="0" w:space="0" w:color="auto"/>
            <w:right w:val="none" w:sz="0" w:space="0" w:color="auto"/>
          </w:divBdr>
        </w:div>
        <w:div w:id="403140075">
          <w:marLeft w:val="547"/>
          <w:marRight w:val="0"/>
          <w:marTop w:val="96"/>
          <w:marBottom w:val="0"/>
          <w:divBdr>
            <w:top w:val="none" w:sz="0" w:space="0" w:color="auto"/>
            <w:left w:val="none" w:sz="0" w:space="0" w:color="auto"/>
            <w:bottom w:val="none" w:sz="0" w:space="0" w:color="auto"/>
            <w:right w:val="none" w:sz="0" w:space="0" w:color="auto"/>
          </w:divBdr>
        </w:div>
        <w:div w:id="88745708">
          <w:marLeft w:val="1166"/>
          <w:marRight w:val="0"/>
          <w:marTop w:val="86"/>
          <w:marBottom w:val="0"/>
          <w:divBdr>
            <w:top w:val="none" w:sz="0" w:space="0" w:color="auto"/>
            <w:left w:val="none" w:sz="0" w:space="0" w:color="auto"/>
            <w:bottom w:val="none" w:sz="0" w:space="0" w:color="auto"/>
            <w:right w:val="none" w:sz="0" w:space="0" w:color="auto"/>
          </w:divBdr>
        </w:div>
        <w:div w:id="1201165774">
          <w:marLeft w:val="1166"/>
          <w:marRight w:val="0"/>
          <w:marTop w:val="86"/>
          <w:marBottom w:val="0"/>
          <w:divBdr>
            <w:top w:val="none" w:sz="0" w:space="0" w:color="auto"/>
            <w:left w:val="none" w:sz="0" w:space="0" w:color="auto"/>
            <w:bottom w:val="none" w:sz="0" w:space="0" w:color="auto"/>
            <w:right w:val="none" w:sz="0" w:space="0" w:color="auto"/>
          </w:divBdr>
        </w:div>
        <w:div w:id="1250313363">
          <w:marLeft w:val="547"/>
          <w:marRight w:val="0"/>
          <w:marTop w:val="96"/>
          <w:marBottom w:val="0"/>
          <w:divBdr>
            <w:top w:val="none" w:sz="0" w:space="0" w:color="auto"/>
            <w:left w:val="none" w:sz="0" w:space="0" w:color="auto"/>
            <w:bottom w:val="none" w:sz="0" w:space="0" w:color="auto"/>
            <w:right w:val="none" w:sz="0" w:space="0" w:color="auto"/>
          </w:divBdr>
        </w:div>
        <w:div w:id="168911736">
          <w:marLeft w:val="1080"/>
          <w:marRight w:val="0"/>
          <w:marTop w:val="86"/>
          <w:marBottom w:val="0"/>
          <w:divBdr>
            <w:top w:val="none" w:sz="0" w:space="0" w:color="auto"/>
            <w:left w:val="none" w:sz="0" w:space="0" w:color="auto"/>
            <w:bottom w:val="none" w:sz="0" w:space="0" w:color="auto"/>
            <w:right w:val="none" w:sz="0" w:space="0" w:color="auto"/>
          </w:divBdr>
        </w:div>
        <w:div w:id="1514496690">
          <w:marLeft w:val="547"/>
          <w:marRight w:val="0"/>
          <w:marTop w:val="96"/>
          <w:marBottom w:val="0"/>
          <w:divBdr>
            <w:top w:val="none" w:sz="0" w:space="0" w:color="auto"/>
            <w:left w:val="none" w:sz="0" w:space="0" w:color="auto"/>
            <w:bottom w:val="none" w:sz="0" w:space="0" w:color="auto"/>
            <w:right w:val="none" w:sz="0" w:space="0" w:color="auto"/>
          </w:divBdr>
        </w:div>
        <w:div w:id="640962420">
          <w:marLeft w:val="1166"/>
          <w:marRight w:val="0"/>
          <w:marTop w:val="86"/>
          <w:marBottom w:val="0"/>
          <w:divBdr>
            <w:top w:val="none" w:sz="0" w:space="0" w:color="auto"/>
            <w:left w:val="none" w:sz="0" w:space="0" w:color="auto"/>
            <w:bottom w:val="none" w:sz="0" w:space="0" w:color="auto"/>
            <w:right w:val="none" w:sz="0" w:space="0" w:color="auto"/>
          </w:divBdr>
        </w:div>
        <w:div w:id="237450059">
          <w:marLeft w:val="1166"/>
          <w:marRight w:val="0"/>
          <w:marTop w:val="86"/>
          <w:marBottom w:val="0"/>
          <w:divBdr>
            <w:top w:val="none" w:sz="0" w:space="0" w:color="auto"/>
            <w:left w:val="none" w:sz="0" w:space="0" w:color="auto"/>
            <w:bottom w:val="none" w:sz="0" w:space="0" w:color="auto"/>
            <w:right w:val="none" w:sz="0" w:space="0" w:color="auto"/>
          </w:divBdr>
        </w:div>
        <w:div w:id="1921669072">
          <w:marLeft w:val="547"/>
          <w:marRight w:val="0"/>
          <w:marTop w:val="96"/>
          <w:marBottom w:val="0"/>
          <w:divBdr>
            <w:top w:val="none" w:sz="0" w:space="0" w:color="auto"/>
            <w:left w:val="none" w:sz="0" w:space="0" w:color="auto"/>
            <w:bottom w:val="none" w:sz="0" w:space="0" w:color="auto"/>
            <w:right w:val="none" w:sz="0" w:space="0" w:color="auto"/>
          </w:divBdr>
        </w:div>
      </w:divsChild>
    </w:div>
    <w:div w:id="1739328947">
      <w:bodyDiv w:val="1"/>
      <w:marLeft w:val="0"/>
      <w:marRight w:val="0"/>
      <w:marTop w:val="0"/>
      <w:marBottom w:val="0"/>
      <w:divBdr>
        <w:top w:val="none" w:sz="0" w:space="0" w:color="auto"/>
        <w:left w:val="none" w:sz="0" w:space="0" w:color="auto"/>
        <w:bottom w:val="none" w:sz="0" w:space="0" w:color="auto"/>
        <w:right w:val="none" w:sz="0" w:space="0" w:color="auto"/>
      </w:divBdr>
      <w:divsChild>
        <w:div w:id="780344169">
          <w:marLeft w:val="1166"/>
          <w:marRight w:val="0"/>
          <w:marTop w:val="65"/>
          <w:marBottom w:val="0"/>
          <w:divBdr>
            <w:top w:val="none" w:sz="0" w:space="0" w:color="auto"/>
            <w:left w:val="none" w:sz="0" w:space="0" w:color="auto"/>
            <w:bottom w:val="none" w:sz="0" w:space="0" w:color="auto"/>
            <w:right w:val="none" w:sz="0" w:space="0" w:color="auto"/>
          </w:divBdr>
        </w:div>
        <w:div w:id="961229843">
          <w:marLeft w:val="1166"/>
          <w:marRight w:val="0"/>
          <w:marTop w:val="65"/>
          <w:marBottom w:val="0"/>
          <w:divBdr>
            <w:top w:val="none" w:sz="0" w:space="0" w:color="auto"/>
            <w:left w:val="none" w:sz="0" w:space="0" w:color="auto"/>
            <w:bottom w:val="none" w:sz="0" w:space="0" w:color="auto"/>
            <w:right w:val="none" w:sz="0" w:space="0" w:color="auto"/>
          </w:divBdr>
        </w:div>
        <w:div w:id="1310863530">
          <w:marLeft w:val="1166"/>
          <w:marRight w:val="0"/>
          <w:marTop w:val="65"/>
          <w:marBottom w:val="0"/>
          <w:divBdr>
            <w:top w:val="none" w:sz="0" w:space="0" w:color="auto"/>
            <w:left w:val="none" w:sz="0" w:space="0" w:color="auto"/>
            <w:bottom w:val="none" w:sz="0" w:space="0" w:color="auto"/>
            <w:right w:val="none" w:sz="0" w:space="0" w:color="auto"/>
          </w:divBdr>
        </w:div>
        <w:div w:id="1621449790">
          <w:marLeft w:val="1166"/>
          <w:marRight w:val="0"/>
          <w:marTop w:val="65"/>
          <w:marBottom w:val="0"/>
          <w:divBdr>
            <w:top w:val="none" w:sz="0" w:space="0" w:color="auto"/>
            <w:left w:val="none" w:sz="0" w:space="0" w:color="auto"/>
            <w:bottom w:val="none" w:sz="0" w:space="0" w:color="auto"/>
            <w:right w:val="none" w:sz="0" w:space="0" w:color="auto"/>
          </w:divBdr>
        </w:div>
        <w:div w:id="949580519">
          <w:marLeft w:val="1166"/>
          <w:marRight w:val="0"/>
          <w:marTop w:val="65"/>
          <w:marBottom w:val="0"/>
          <w:divBdr>
            <w:top w:val="none" w:sz="0" w:space="0" w:color="auto"/>
            <w:left w:val="none" w:sz="0" w:space="0" w:color="auto"/>
            <w:bottom w:val="none" w:sz="0" w:space="0" w:color="auto"/>
            <w:right w:val="none" w:sz="0" w:space="0" w:color="auto"/>
          </w:divBdr>
        </w:div>
        <w:div w:id="1171795383">
          <w:marLeft w:val="1800"/>
          <w:marRight w:val="0"/>
          <w:marTop w:val="5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26891026">
      <w:bodyDiv w:val="1"/>
      <w:marLeft w:val="0"/>
      <w:marRight w:val="0"/>
      <w:marTop w:val="0"/>
      <w:marBottom w:val="0"/>
      <w:divBdr>
        <w:top w:val="none" w:sz="0" w:space="0" w:color="auto"/>
        <w:left w:val="none" w:sz="0" w:space="0" w:color="auto"/>
        <w:bottom w:val="none" w:sz="0" w:space="0" w:color="auto"/>
        <w:right w:val="none" w:sz="0" w:space="0" w:color="auto"/>
      </w:divBdr>
      <w:divsChild>
        <w:div w:id="2003656945">
          <w:marLeft w:val="547"/>
          <w:marRight w:val="0"/>
          <w:marTop w:val="96"/>
          <w:marBottom w:val="0"/>
          <w:divBdr>
            <w:top w:val="none" w:sz="0" w:space="0" w:color="auto"/>
            <w:left w:val="none" w:sz="0" w:space="0" w:color="auto"/>
            <w:bottom w:val="none" w:sz="0" w:space="0" w:color="auto"/>
            <w:right w:val="none" w:sz="0" w:space="0" w:color="auto"/>
          </w:divBdr>
        </w:div>
        <w:div w:id="857349623">
          <w:marLeft w:val="1166"/>
          <w:marRight w:val="0"/>
          <w:marTop w:val="84"/>
          <w:marBottom w:val="0"/>
          <w:divBdr>
            <w:top w:val="none" w:sz="0" w:space="0" w:color="auto"/>
            <w:left w:val="none" w:sz="0" w:space="0" w:color="auto"/>
            <w:bottom w:val="none" w:sz="0" w:space="0" w:color="auto"/>
            <w:right w:val="none" w:sz="0" w:space="0" w:color="auto"/>
          </w:divBdr>
        </w:div>
        <w:div w:id="256866299">
          <w:marLeft w:val="1800"/>
          <w:marRight w:val="0"/>
          <w:marTop w:val="74"/>
          <w:marBottom w:val="0"/>
          <w:divBdr>
            <w:top w:val="none" w:sz="0" w:space="0" w:color="auto"/>
            <w:left w:val="none" w:sz="0" w:space="0" w:color="auto"/>
            <w:bottom w:val="none" w:sz="0" w:space="0" w:color="auto"/>
            <w:right w:val="none" w:sz="0" w:space="0" w:color="auto"/>
          </w:divBdr>
        </w:div>
        <w:div w:id="958148707">
          <w:marLeft w:val="2520"/>
          <w:marRight w:val="0"/>
          <w:marTop w:val="64"/>
          <w:marBottom w:val="0"/>
          <w:divBdr>
            <w:top w:val="none" w:sz="0" w:space="0" w:color="auto"/>
            <w:left w:val="none" w:sz="0" w:space="0" w:color="auto"/>
            <w:bottom w:val="none" w:sz="0" w:space="0" w:color="auto"/>
            <w:right w:val="none" w:sz="0" w:space="0" w:color="auto"/>
          </w:divBdr>
        </w:div>
        <w:div w:id="1414664383">
          <w:marLeft w:val="2520"/>
          <w:marRight w:val="0"/>
          <w:marTop w:val="64"/>
          <w:marBottom w:val="0"/>
          <w:divBdr>
            <w:top w:val="none" w:sz="0" w:space="0" w:color="auto"/>
            <w:left w:val="none" w:sz="0" w:space="0" w:color="auto"/>
            <w:bottom w:val="none" w:sz="0" w:space="0" w:color="auto"/>
            <w:right w:val="none" w:sz="0" w:space="0" w:color="auto"/>
          </w:divBdr>
        </w:div>
        <w:div w:id="443041181">
          <w:marLeft w:val="1800"/>
          <w:marRight w:val="0"/>
          <w:marTop w:val="74"/>
          <w:marBottom w:val="0"/>
          <w:divBdr>
            <w:top w:val="none" w:sz="0" w:space="0" w:color="auto"/>
            <w:left w:val="none" w:sz="0" w:space="0" w:color="auto"/>
            <w:bottom w:val="none" w:sz="0" w:space="0" w:color="auto"/>
            <w:right w:val="none" w:sz="0" w:space="0" w:color="auto"/>
          </w:divBdr>
        </w:div>
        <w:div w:id="273706389">
          <w:marLeft w:val="2520"/>
          <w:marRight w:val="0"/>
          <w:marTop w:val="64"/>
          <w:marBottom w:val="0"/>
          <w:divBdr>
            <w:top w:val="none" w:sz="0" w:space="0" w:color="auto"/>
            <w:left w:val="none" w:sz="0" w:space="0" w:color="auto"/>
            <w:bottom w:val="none" w:sz="0" w:space="0" w:color="auto"/>
            <w:right w:val="none" w:sz="0" w:space="0" w:color="auto"/>
          </w:divBdr>
        </w:div>
        <w:div w:id="2038776113">
          <w:marLeft w:val="1800"/>
          <w:marRight w:val="0"/>
          <w:marTop w:val="74"/>
          <w:marBottom w:val="0"/>
          <w:divBdr>
            <w:top w:val="none" w:sz="0" w:space="0" w:color="auto"/>
            <w:left w:val="none" w:sz="0" w:space="0" w:color="auto"/>
            <w:bottom w:val="none" w:sz="0" w:space="0" w:color="auto"/>
            <w:right w:val="none" w:sz="0" w:space="0" w:color="auto"/>
          </w:divBdr>
        </w:div>
        <w:div w:id="1336952682">
          <w:marLeft w:val="2520"/>
          <w:marRight w:val="0"/>
          <w:marTop w:val="64"/>
          <w:marBottom w:val="0"/>
          <w:divBdr>
            <w:top w:val="none" w:sz="0" w:space="0" w:color="auto"/>
            <w:left w:val="none" w:sz="0" w:space="0" w:color="auto"/>
            <w:bottom w:val="none" w:sz="0" w:space="0" w:color="auto"/>
            <w:right w:val="none" w:sz="0" w:space="0" w:color="auto"/>
          </w:divBdr>
        </w:div>
        <w:div w:id="1806046035">
          <w:marLeft w:val="3240"/>
          <w:marRight w:val="0"/>
          <w:marTop w:val="77"/>
          <w:marBottom w:val="0"/>
          <w:divBdr>
            <w:top w:val="none" w:sz="0" w:space="0" w:color="auto"/>
            <w:left w:val="none" w:sz="0" w:space="0" w:color="auto"/>
            <w:bottom w:val="none" w:sz="0" w:space="0" w:color="auto"/>
            <w:right w:val="none" w:sz="0" w:space="0" w:color="auto"/>
          </w:divBdr>
        </w:div>
        <w:div w:id="956571848">
          <w:marLeft w:val="1166"/>
          <w:marRight w:val="0"/>
          <w:marTop w:val="86"/>
          <w:marBottom w:val="0"/>
          <w:divBdr>
            <w:top w:val="none" w:sz="0" w:space="0" w:color="auto"/>
            <w:left w:val="none" w:sz="0" w:space="0" w:color="auto"/>
            <w:bottom w:val="none" w:sz="0" w:space="0" w:color="auto"/>
            <w:right w:val="none" w:sz="0" w:space="0" w:color="auto"/>
          </w:divBdr>
        </w:div>
        <w:div w:id="1754282571">
          <w:marLeft w:val="1166"/>
          <w:marRight w:val="0"/>
          <w:marTop w:val="86"/>
          <w:marBottom w:val="0"/>
          <w:divBdr>
            <w:top w:val="none" w:sz="0" w:space="0" w:color="auto"/>
            <w:left w:val="none" w:sz="0" w:space="0" w:color="auto"/>
            <w:bottom w:val="none" w:sz="0" w:space="0" w:color="auto"/>
            <w:right w:val="none" w:sz="0" w:space="0" w:color="auto"/>
          </w:divBdr>
        </w:div>
      </w:divsChild>
    </w:div>
    <w:div w:id="1889760469">
      <w:bodyDiv w:val="1"/>
      <w:marLeft w:val="0"/>
      <w:marRight w:val="0"/>
      <w:marTop w:val="0"/>
      <w:marBottom w:val="0"/>
      <w:divBdr>
        <w:top w:val="none" w:sz="0" w:space="0" w:color="auto"/>
        <w:left w:val="none" w:sz="0" w:space="0" w:color="auto"/>
        <w:bottom w:val="none" w:sz="0" w:space="0" w:color="auto"/>
        <w:right w:val="none" w:sz="0" w:space="0" w:color="auto"/>
      </w:divBdr>
      <w:divsChild>
        <w:div w:id="1895459093">
          <w:marLeft w:val="547"/>
          <w:marRight w:val="0"/>
          <w:marTop w:val="115"/>
          <w:marBottom w:val="0"/>
          <w:divBdr>
            <w:top w:val="none" w:sz="0" w:space="0" w:color="auto"/>
            <w:left w:val="none" w:sz="0" w:space="0" w:color="auto"/>
            <w:bottom w:val="none" w:sz="0" w:space="0" w:color="auto"/>
            <w:right w:val="none" w:sz="0" w:space="0" w:color="auto"/>
          </w:divBdr>
        </w:div>
        <w:div w:id="126819167">
          <w:marLeft w:val="1166"/>
          <w:marRight w:val="0"/>
          <w:marTop w:val="101"/>
          <w:marBottom w:val="0"/>
          <w:divBdr>
            <w:top w:val="none" w:sz="0" w:space="0" w:color="auto"/>
            <w:left w:val="none" w:sz="0" w:space="0" w:color="auto"/>
            <w:bottom w:val="none" w:sz="0" w:space="0" w:color="auto"/>
            <w:right w:val="none" w:sz="0" w:space="0" w:color="auto"/>
          </w:divBdr>
        </w:div>
        <w:div w:id="776173478">
          <w:marLeft w:val="1166"/>
          <w:marRight w:val="0"/>
          <w:marTop w:val="101"/>
          <w:marBottom w:val="0"/>
          <w:divBdr>
            <w:top w:val="none" w:sz="0" w:space="0" w:color="auto"/>
            <w:left w:val="none" w:sz="0" w:space="0" w:color="auto"/>
            <w:bottom w:val="none" w:sz="0" w:space="0" w:color="auto"/>
            <w:right w:val="none" w:sz="0" w:space="0" w:color="auto"/>
          </w:divBdr>
        </w:div>
        <w:div w:id="665593725">
          <w:marLeft w:val="547"/>
          <w:marRight w:val="0"/>
          <w:marTop w:val="115"/>
          <w:marBottom w:val="0"/>
          <w:divBdr>
            <w:top w:val="none" w:sz="0" w:space="0" w:color="auto"/>
            <w:left w:val="none" w:sz="0" w:space="0" w:color="auto"/>
            <w:bottom w:val="none" w:sz="0" w:space="0" w:color="auto"/>
            <w:right w:val="none" w:sz="0" w:space="0" w:color="auto"/>
          </w:divBdr>
        </w:div>
        <w:div w:id="203097730">
          <w:marLeft w:val="1166"/>
          <w:marRight w:val="0"/>
          <w:marTop w:val="101"/>
          <w:marBottom w:val="0"/>
          <w:divBdr>
            <w:top w:val="none" w:sz="0" w:space="0" w:color="auto"/>
            <w:left w:val="none" w:sz="0" w:space="0" w:color="auto"/>
            <w:bottom w:val="none" w:sz="0" w:space="0" w:color="auto"/>
            <w:right w:val="none" w:sz="0" w:space="0" w:color="auto"/>
          </w:divBdr>
        </w:div>
        <w:div w:id="1318848813">
          <w:marLeft w:val="547"/>
          <w:marRight w:val="0"/>
          <w:marTop w:val="115"/>
          <w:marBottom w:val="0"/>
          <w:divBdr>
            <w:top w:val="none" w:sz="0" w:space="0" w:color="auto"/>
            <w:left w:val="none" w:sz="0" w:space="0" w:color="auto"/>
            <w:bottom w:val="none" w:sz="0" w:space="0" w:color="auto"/>
            <w:right w:val="none" w:sz="0" w:space="0" w:color="auto"/>
          </w:divBdr>
        </w:div>
        <w:div w:id="1453984825">
          <w:marLeft w:val="1166"/>
          <w:marRight w:val="0"/>
          <w:marTop w:val="101"/>
          <w:marBottom w:val="0"/>
          <w:divBdr>
            <w:top w:val="none" w:sz="0" w:space="0" w:color="auto"/>
            <w:left w:val="none" w:sz="0" w:space="0" w:color="auto"/>
            <w:bottom w:val="none" w:sz="0" w:space="0" w:color="auto"/>
            <w:right w:val="none" w:sz="0" w:space="0" w:color="auto"/>
          </w:divBdr>
        </w:div>
      </w:divsChild>
    </w:div>
    <w:div w:id="1928004089">
      <w:bodyDiv w:val="1"/>
      <w:marLeft w:val="0"/>
      <w:marRight w:val="0"/>
      <w:marTop w:val="0"/>
      <w:marBottom w:val="0"/>
      <w:divBdr>
        <w:top w:val="none" w:sz="0" w:space="0" w:color="auto"/>
        <w:left w:val="none" w:sz="0" w:space="0" w:color="auto"/>
        <w:bottom w:val="none" w:sz="0" w:space="0" w:color="auto"/>
        <w:right w:val="none" w:sz="0" w:space="0" w:color="auto"/>
      </w:divBdr>
      <w:divsChild>
        <w:div w:id="1503004480">
          <w:marLeft w:val="1166"/>
          <w:marRight w:val="0"/>
          <w:marTop w:val="72"/>
          <w:marBottom w:val="0"/>
          <w:divBdr>
            <w:top w:val="none" w:sz="0" w:space="0" w:color="auto"/>
            <w:left w:val="none" w:sz="0" w:space="0" w:color="auto"/>
            <w:bottom w:val="none" w:sz="0" w:space="0" w:color="auto"/>
            <w:right w:val="none" w:sz="0" w:space="0" w:color="auto"/>
          </w:divBdr>
        </w:div>
        <w:div w:id="2065105606">
          <w:marLeft w:val="1166"/>
          <w:marRight w:val="0"/>
          <w:marTop w:val="72"/>
          <w:marBottom w:val="0"/>
          <w:divBdr>
            <w:top w:val="none" w:sz="0" w:space="0" w:color="auto"/>
            <w:left w:val="none" w:sz="0" w:space="0" w:color="auto"/>
            <w:bottom w:val="none" w:sz="0" w:space="0" w:color="auto"/>
            <w:right w:val="none" w:sz="0" w:space="0" w:color="auto"/>
          </w:divBdr>
        </w:div>
        <w:div w:id="191766356">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05161684">
      <w:bodyDiv w:val="1"/>
      <w:marLeft w:val="0"/>
      <w:marRight w:val="0"/>
      <w:marTop w:val="0"/>
      <w:marBottom w:val="0"/>
      <w:divBdr>
        <w:top w:val="none" w:sz="0" w:space="0" w:color="auto"/>
        <w:left w:val="none" w:sz="0" w:space="0" w:color="auto"/>
        <w:bottom w:val="none" w:sz="0" w:space="0" w:color="auto"/>
        <w:right w:val="none" w:sz="0" w:space="0" w:color="auto"/>
      </w:divBdr>
      <w:divsChild>
        <w:div w:id="2109888828">
          <w:marLeft w:val="547"/>
          <w:marRight w:val="0"/>
          <w:marTop w:val="9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047368027">
      <w:bodyDiv w:val="1"/>
      <w:marLeft w:val="0"/>
      <w:marRight w:val="0"/>
      <w:marTop w:val="0"/>
      <w:marBottom w:val="0"/>
      <w:divBdr>
        <w:top w:val="none" w:sz="0" w:space="0" w:color="auto"/>
        <w:left w:val="none" w:sz="0" w:space="0" w:color="auto"/>
        <w:bottom w:val="none" w:sz="0" w:space="0" w:color="auto"/>
        <w:right w:val="none" w:sz="0" w:space="0" w:color="auto"/>
      </w:divBdr>
      <w:divsChild>
        <w:div w:id="2043751231">
          <w:marLeft w:val="806"/>
          <w:marRight w:val="0"/>
          <w:marTop w:val="86"/>
          <w:marBottom w:val="0"/>
          <w:divBdr>
            <w:top w:val="none" w:sz="0" w:space="0" w:color="auto"/>
            <w:left w:val="none" w:sz="0" w:space="0" w:color="auto"/>
            <w:bottom w:val="none" w:sz="0" w:space="0" w:color="auto"/>
            <w:right w:val="none" w:sz="0" w:space="0" w:color="auto"/>
          </w:divBdr>
        </w:div>
        <w:div w:id="1559172454">
          <w:marLeft w:val="806"/>
          <w:marRight w:val="0"/>
          <w:marTop w:val="86"/>
          <w:marBottom w:val="0"/>
          <w:divBdr>
            <w:top w:val="none" w:sz="0" w:space="0" w:color="auto"/>
            <w:left w:val="none" w:sz="0" w:space="0" w:color="auto"/>
            <w:bottom w:val="none" w:sz="0" w:space="0" w:color="auto"/>
            <w:right w:val="none" w:sz="0" w:space="0" w:color="auto"/>
          </w:divBdr>
        </w:div>
        <w:div w:id="770592624">
          <w:marLeft w:val="1282"/>
          <w:marRight w:val="0"/>
          <w:marTop w:val="72"/>
          <w:marBottom w:val="0"/>
          <w:divBdr>
            <w:top w:val="none" w:sz="0" w:space="0" w:color="auto"/>
            <w:left w:val="none" w:sz="0" w:space="0" w:color="auto"/>
            <w:bottom w:val="none" w:sz="0" w:space="0" w:color="auto"/>
            <w:right w:val="none" w:sz="0" w:space="0" w:color="auto"/>
          </w:divBdr>
        </w:div>
        <w:div w:id="652758434">
          <w:marLeft w:val="2520"/>
          <w:marRight w:val="0"/>
          <w:marTop w:val="65"/>
          <w:marBottom w:val="0"/>
          <w:divBdr>
            <w:top w:val="none" w:sz="0" w:space="0" w:color="auto"/>
            <w:left w:val="none" w:sz="0" w:space="0" w:color="auto"/>
            <w:bottom w:val="none" w:sz="0" w:space="0" w:color="auto"/>
            <w:right w:val="none" w:sz="0" w:space="0" w:color="auto"/>
          </w:divBdr>
        </w:div>
        <w:div w:id="593786527">
          <w:marLeft w:val="806"/>
          <w:marRight w:val="0"/>
          <w:marTop w:val="86"/>
          <w:marBottom w:val="0"/>
          <w:divBdr>
            <w:top w:val="none" w:sz="0" w:space="0" w:color="auto"/>
            <w:left w:val="none" w:sz="0" w:space="0" w:color="auto"/>
            <w:bottom w:val="none" w:sz="0" w:space="0" w:color="auto"/>
            <w:right w:val="none" w:sz="0" w:space="0" w:color="auto"/>
          </w:divBdr>
        </w:div>
        <w:div w:id="79571170">
          <w:marLeft w:val="1282"/>
          <w:marRight w:val="0"/>
          <w:marTop w:val="72"/>
          <w:marBottom w:val="0"/>
          <w:divBdr>
            <w:top w:val="none" w:sz="0" w:space="0" w:color="auto"/>
            <w:left w:val="none" w:sz="0" w:space="0" w:color="auto"/>
            <w:bottom w:val="none" w:sz="0" w:space="0" w:color="auto"/>
            <w:right w:val="none" w:sz="0" w:space="0" w:color="auto"/>
          </w:divBdr>
        </w:div>
      </w:divsChild>
    </w:div>
    <w:div w:id="2051101762">
      <w:bodyDiv w:val="1"/>
      <w:marLeft w:val="0"/>
      <w:marRight w:val="0"/>
      <w:marTop w:val="0"/>
      <w:marBottom w:val="0"/>
      <w:divBdr>
        <w:top w:val="none" w:sz="0" w:space="0" w:color="auto"/>
        <w:left w:val="none" w:sz="0" w:space="0" w:color="auto"/>
        <w:bottom w:val="none" w:sz="0" w:space="0" w:color="auto"/>
        <w:right w:val="none" w:sz="0" w:space="0" w:color="auto"/>
      </w:divBdr>
      <w:divsChild>
        <w:div w:id="1264731463">
          <w:marLeft w:val="806"/>
          <w:marRight w:val="0"/>
          <w:marTop w:val="86"/>
          <w:marBottom w:val="0"/>
          <w:divBdr>
            <w:top w:val="none" w:sz="0" w:space="0" w:color="auto"/>
            <w:left w:val="none" w:sz="0" w:space="0" w:color="auto"/>
            <w:bottom w:val="none" w:sz="0" w:space="0" w:color="auto"/>
            <w:right w:val="none" w:sz="0" w:space="0" w:color="auto"/>
          </w:divBdr>
        </w:div>
        <w:div w:id="1603147582">
          <w:marLeft w:val="806"/>
          <w:marRight w:val="0"/>
          <w:marTop w:val="86"/>
          <w:marBottom w:val="0"/>
          <w:divBdr>
            <w:top w:val="none" w:sz="0" w:space="0" w:color="auto"/>
            <w:left w:val="none" w:sz="0" w:space="0" w:color="auto"/>
            <w:bottom w:val="none" w:sz="0" w:space="0" w:color="auto"/>
            <w:right w:val="none" w:sz="0" w:space="0" w:color="auto"/>
          </w:divBdr>
        </w:div>
        <w:div w:id="1026060603">
          <w:marLeft w:val="1282"/>
          <w:marRight w:val="0"/>
          <w:marTop w:val="72"/>
          <w:marBottom w:val="0"/>
          <w:divBdr>
            <w:top w:val="none" w:sz="0" w:space="0" w:color="auto"/>
            <w:left w:val="none" w:sz="0" w:space="0" w:color="auto"/>
            <w:bottom w:val="none" w:sz="0" w:space="0" w:color="auto"/>
            <w:right w:val="none" w:sz="0" w:space="0" w:color="auto"/>
          </w:divBdr>
        </w:div>
        <w:div w:id="2044477353">
          <w:marLeft w:val="2520"/>
          <w:marRight w:val="0"/>
          <w:marTop w:val="65"/>
          <w:marBottom w:val="0"/>
          <w:divBdr>
            <w:top w:val="none" w:sz="0" w:space="0" w:color="auto"/>
            <w:left w:val="none" w:sz="0" w:space="0" w:color="auto"/>
            <w:bottom w:val="none" w:sz="0" w:space="0" w:color="auto"/>
            <w:right w:val="none" w:sz="0" w:space="0" w:color="auto"/>
          </w:divBdr>
        </w:div>
        <w:div w:id="2107538349">
          <w:marLeft w:val="806"/>
          <w:marRight w:val="0"/>
          <w:marTop w:val="86"/>
          <w:marBottom w:val="0"/>
          <w:divBdr>
            <w:top w:val="none" w:sz="0" w:space="0" w:color="auto"/>
            <w:left w:val="none" w:sz="0" w:space="0" w:color="auto"/>
            <w:bottom w:val="none" w:sz="0" w:space="0" w:color="auto"/>
            <w:right w:val="none" w:sz="0" w:space="0" w:color="auto"/>
          </w:divBdr>
        </w:div>
        <w:div w:id="1455365836">
          <w:marLeft w:val="1282"/>
          <w:marRight w:val="0"/>
          <w:marTop w:val="72"/>
          <w:marBottom w:val="0"/>
          <w:divBdr>
            <w:top w:val="none" w:sz="0" w:space="0" w:color="auto"/>
            <w:left w:val="none" w:sz="0" w:space="0" w:color="auto"/>
            <w:bottom w:val="none" w:sz="0" w:space="0" w:color="auto"/>
            <w:right w:val="none" w:sz="0" w:space="0" w:color="auto"/>
          </w:divBdr>
        </w:div>
      </w:divsChild>
    </w:div>
    <w:div w:id="2098624146">
      <w:bodyDiv w:val="1"/>
      <w:marLeft w:val="0"/>
      <w:marRight w:val="0"/>
      <w:marTop w:val="0"/>
      <w:marBottom w:val="0"/>
      <w:divBdr>
        <w:top w:val="none" w:sz="0" w:space="0" w:color="auto"/>
        <w:left w:val="none" w:sz="0" w:space="0" w:color="auto"/>
        <w:bottom w:val="none" w:sz="0" w:space="0" w:color="auto"/>
        <w:right w:val="none" w:sz="0" w:space="0" w:color="auto"/>
      </w:divBdr>
      <w:divsChild>
        <w:div w:id="1162889031">
          <w:marLeft w:val="547"/>
          <w:marRight w:val="0"/>
          <w:marTop w:val="115"/>
          <w:marBottom w:val="0"/>
          <w:divBdr>
            <w:top w:val="none" w:sz="0" w:space="0" w:color="auto"/>
            <w:left w:val="none" w:sz="0" w:space="0" w:color="auto"/>
            <w:bottom w:val="none" w:sz="0" w:space="0" w:color="auto"/>
            <w:right w:val="none" w:sz="0" w:space="0" w:color="auto"/>
          </w:divBdr>
        </w:div>
        <w:div w:id="1397893733">
          <w:marLeft w:val="1166"/>
          <w:marRight w:val="0"/>
          <w:marTop w:val="101"/>
          <w:marBottom w:val="0"/>
          <w:divBdr>
            <w:top w:val="none" w:sz="0" w:space="0" w:color="auto"/>
            <w:left w:val="none" w:sz="0" w:space="0" w:color="auto"/>
            <w:bottom w:val="none" w:sz="0" w:space="0" w:color="auto"/>
            <w:right w:val="none" w:sz="0" w:space="0" w:color="auto"/>
          </w:divBdr>
        </w:div>
        <w:div w:id="1652979465">
          <w:marLeft w:val="1166"/>
          <w:marRight w:val="0"/>
          <w:marTop w:val="101"/>
          <w:marBottom w:val="0"/>
          <w:divBdr>
            <w:top w:val="none" w:sz="0" w:space="0" w:color="auto"/>
            <w:left w:val="none" w:sz="0" w:space="0" w:color="auto"/>
            <w:bottom w:val="none" w:sz="0" w:space="0" w:color="auto"/>
            <w:right w:val="none" w:sz="0" w:space="0" w:color="auto"/>
          </w:divBdr>
        </w:div>
        <w:div w:id="1119253567">
          <w:marLeft w:val="547"/>
          <w:marRight w:val="0"/>
          <w:marTop w:val="115"/>
          <w:marBottom w:val="0"/>
          <w:divBdr>
            <w:top w:val="none" w:sz="0" w:space="0" w:color="auto"/>
            <w:left w:val="none" w:sz="0" w:space="0" w:color="auto"/>
            <w:bottom w:val="none" w:sz="0" w:space="0" w:color="auto"/>
            <w:right w:val="none" w:sz="0" w:space="0" w:color="auto"/>
          </w:divBdr>
        </w:div>
        <w:div w:id="1590232981">
          <w:marLeft w:val="1166"/>
          <w:marRight w:val="0"/>
          <w:marTop w:val="101"/>
          <w:marBottom w:val="0"/>
          <w:divBdr>
            <w:top w:val="none" w:sz="0" w:space="0" w:color="auto"/>
            <w:left w:val="none" w:sz="0" w:space="0" w:color="auto"/>
            <w:bottom w:val="none" w:sz="0" w:space="0" w:color="auto"/>
            <w:right w:val="none" w:sz="0" w:space="0" w:color="auto"/>
          </w:divBdr>
        </w:div>
        <w:div w:id="1057096186">
          <w:marLeft w:val="547"/>
          <w:marRight w:val="0"/>
          <w:marTop w:val="115"/>
          <w:marBottom w:val="0"/>
          <w:divBdr>
            <w:top w:val="none" w:sz="0" w:space="0" w:color="auto"/>
            <w:left w:val="none" w:sz="0" w:space="0" w:color="auto"/>
            <w:bottom w:val="none" w:sz="0" w:space="0" w:color="auto"/>
            <w:right w:val="none" w:sz="0" w:space="0" w:color="auto"/>
          </w:divBdr>
        </w:div>
        <w:div w:id="1112675636">
          <w:marLeft w:val="1166"/>
          <w:marRight w:val="0"/>
          <w:marTop w:val="101"/>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351C9-5DA9-4527-95BB-32732C85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4455</TotalTime>
  <Pages>5</Pages>
  <Words>1901</Words>
  <Characters>10839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12715</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131</cp:revision>
  <cp:lastPrinted>2007-09-06T06:59:00Z</cp:lastPrinted>
  <dcterms:created xsi:type="dcterms:W3CDTF">2019-09-28T03:54:00Z</dcterms:created>
  <dcterms:modified xsi:type="dcterms:W3CDTF">2020-02-14T14:54:00Z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